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kwavemedia_424b5.htm"/>
      <w:bookmarkStart w:id="1" w:name="kskwavemedia_424b5"/>
      <w:bookmarkEnd w:id="0"/>
      <w:bookmarkEnd w:id="1"/>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333-297167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July 9,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526,314 Ordinary Shares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we entered into a Placement Agency Agreement, or the Placement Agency Agreement, with D. Boral Capital LLC, (“D. Boral” or the “Placement Agent”), relating to the sale of 526,314 of our ordinary shares, par value $0.003 per share (the “Ordinary Shares”), offered by this prospectus supplement and the accompanying base prospectus, directly to certain institutional investors at a price of $1.90 per Ordinary Share. D. Boral has agreed to act as the exclusive placement agent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or Nasdaq, under the symbol “KWM.” On August 18, 2026, the last reported sale price of our Ordinary Shares on Nasdaq was $2.64 per share (on a post-reverse stock split adjusted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is not purchasing or selling any of the Ordinary Shares offered by this prospectus supplement, nor is it required to arrange for the purchase or sale of any specific number or dollar amount of Ordinary Shares. The Placement Agent has agreed to use its reasonable best efforts to arrange for the sale of the Ordinary Shares offered hereby. We have agreed to pay the Placement Agent a cash fee as set forth in the table below. This offering will be completed on a single settlement date and is expected to close on or about August 20, 2026, subject to customary closing conditions.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tbl>
      <w:tblPr>
        <w:tblW w:w="6574" w:type="dxa"/>
        <w:jc w:val="left"/>
        <w:tblInd w:w="0" w:type="dxa"/>
        <w:tblLayout w:type="fixed"/>
        <w:tblCellMar>
          <w:top w:w="0" w:type="dxa"/>
          <w:left w:w="0" w:type="dxa"/>
          <w:bottom w:w="0" w:type="dxa"/>
          <w:right w:w="0" w:type="dxa"/>
        </w:tblCellMar>
      </w:tblPr>
      <w:tblGrid>
        <w:gridCol w:w="3530"/>
        <w:gridCol w:w="60"/>
        <w:gridCol w:w="199"/>
        <w:gridCol w:w="1515"/>
        <w:gridCol w:w="60"/>
        <w:gridCol w:w="60"/>
        <w:gridCol w:w="125"/>
        <w:gridCol w:w="950"/>
        <w:gridCol w:w="75"/>
      </w:tblGrid>
      <w:tr>
        <w:trPr/>
        <w:tc>
          <w:tcPr>
            <w:tcW w:w="353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Ordinary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999,996.60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 fees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69,999.76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929,996.84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929,996.84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76"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We have agreed to pay the placement agent a cash fee equal to 7.0% of the aggregate gross proceeds received by us from the sale of Ordinary Shares in this offering. See “</w:t>
            </w:r>
            <w:hyperlink w:anchor="a_007">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beginning on page S-11 of this prospectus supplement for a description of the compensation to be received by the placement agent.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Placement Agent may be deemed to be an “underwriter” within the meaning of the Securities Act of 1933, as amended, or the Securities Act, and the compensation paid to the Placement Agent may be deemed to be underwriting commissions or discounts. We have also agreed to provide indemnification and contribution to the Placement Agent with respect to certain liabilities, including liabilities arising out of or in connection with the transactions contemplated by the Placement Agency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the aggregate market value of our Ordinary Shares held by non-affiliates pursuant to General Instruction I.B.5 of Form F-3 is $13,983,062, which is based on 2,157,880 Ordinary Shares outstanding held by non-affiliates and a price of $6.48 per share, the highest closing sale price of our Ordinary Shares on Nasdaq within the sixty (60) days prior to the date of this prospectus supplement (on a post-reverse stock split adjusted basis). During the prior twelve (12) calendar month period that ends on and includes the date hereof, we have not offered or sold any Ordinary Shares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because our public float is below $75 million, we may not sell securities in public primary offerings on Form F-3 with a value exceeding more than one-third of our public float in any twelve (12) calendar month period. As of the date of this prospectus supplement, the aggregate market value of our Ordinary Shares held by non-affiliates is $13,983,062. During the prior twelve (12) calendar month period that ends on and includes the date hereof, we have not offered or sold any Ordinary Shares pursuant to General Instruction I.B.5 of Form F-3. The aggregate offering price of the Ordinary Shares offered hereby does not exceed one-third of our public float.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Placement Agent will be entitled to a placement agent fee equal to 7.0% of the aggregate gross proceeds from the sale of Ordinary Shares in this offering. See “</w:t>
      </w:r>
      <w:hyperlink w:anchor="a_007">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beginning on page S-11 of this prospectus supplement for additional information regarding the compensation to be paid to D. Boral.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We are an “emerging growth company” as defined in Section 2(a) of the Securities Act and are subject to reduced public company reporting requirements. See “</w:t>
      </w:r>
      <w:hyperlink w:anchor="a_003a">
        <w:r>
          <w:rPr>
            <w:rStyle w:val="InternetLink"/>
            <w:rFonts w:ascii="Times New Roman;Times;Serif" w:hAnsi="Times New Roman;Times;Serif"/>
            <w:b w:val="false"/>
            <w:i w:val="false"/>
            <w:caps w:val="false"/>
            <w:smallCaps w:val="false"/>
            <w:sz w:val="20"/>
          </w:rPr>
          <w:t>Prospectus Supplement Summary - Implications of Being an Emerging Growth Company</w:t>
        </w:r>
      </w:hyperlink>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Ordinary Shares involves a high degree of risk. Before making an investment decision, please read “Risk Factors” beginning on page S-7 of this prospectus supplement and beginning on page 14 of the accompanying base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 Boral Capital LLC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August 20,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890"/>
        <w:gridCol w:w="60"/>
        <w:gridCol w:w="485"/>
      </w:tblGrid>
      <w:tr>
        <w:trPr/>
        <w:tc>
          <w:tcPr>
            <w:tcW w:w="6890" w:type="dxa"/>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w:t>
            </w:r>
          </w:p>
        </w:tc>
      </w:tr>
      <w:tr>
        <w:trPr/>
        <w:tc>
          <w:tcPr>
            <w:tcW w:w="6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S-2</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S-4</w:t>
            </w:r>
          </w:p>
        </w:tc>
      </w:tr>
      <w:tr>
        <w:trPr/>
        <w:tc>
          <w:tcPr>
            <w:tcW w:w="6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S-6</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S-7</w:t>
            </w:r>
          </w:p>
        </w:tc>
      </w:tr>
      <w:tr>
        <w:trPr/>
        <w:tc>
          <w:tcPr>
            <w:tcW w:w="6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S-9</w:t>
            </w:r>
          </w:p>
        </w:tc>
      </w:tr>
      <w:tr>
        <w:trPr/>
        <w:tc>
          <w:tcPr>
            <w:tcW w:w="6890" w:type="dxa"/>
            <w:tcBorders/>
            <w:shd w:fill="CCEEFF" w:val="clear"/>
            <w:vAlign w:val="center"/>
          </w:tcPr>
          <w:p>
            <w:pPr>
              <w:pStyle w:val="TableContents"/>
              <w:bidi w:val="0"/>
              <w:spacing w:before="0" w:after="283"/>
              <w:jc w:val="left"/>
              <w:rPr/>
            </w:pPr>
            <w:hyperlink w:anchor="a_014">
              <w:r>
                <w:rPr>
                  <w:rStyle w:val="InternetLink"/>
                  <w:caps/>
                </w:rPr>
                <w:t>Dilution</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180"/>
              <w:jc w:val="center"/>
              <w:rPr/>
            </w:pPr>
            <w:r>
              <w:rPr/>
              <w:t>S-10</w:t>
            </w:r>
          </w:p>
        </w:tc>
      </w:tr>
      <w:tr>
        <w:trPr/>
        <w:tc>
          <w:tcPr>
            <w:tcW w:w="6890"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S-11</w:t>
            </w:r>
          </w:p>
        </w:tc>
      </w:tr>
      <w:tr>
        <w:trPr/>
        <w:tc>
          <w:tcPr>
            <w:tcW w:w="689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SECURITIES</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S-13</w:t>
            </w:r>
          </w:p>
        </w:tc>
      </w:tr>
      <w:tr>
        <w:trPr/>
        <w:tc>
          <w:tcPr>
            <w:tcW w:w="6890"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MATERIAL U.S. FEDERAL INCOME TAX CONSEQUENCES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S-14</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S-18</w:t>
            </w:r>
          </w:p>
        </w:tc>
      </w:tr>
      <w:tr>
        <w:trPr/>
        <w:tc>
          <w:tcPr>
            <w:tcW w:w="689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S-18</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S-19</w:t>
            </w:r>
          </w:p>
        </w:tc>
      </w:tr>
      <w:tr>
        <w:trPr/>
        <w:tc>
          <w:tcPr>
            <w:tcW w:w="689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S-20</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840"/>
        <w:gridCol w:w="60"/>
        <w:gridCol w:w="275"/>
      </w:tblGrid>
      <w:tr>
        <w:trPr/>
        <w:tc>
          <w:tcPr>
            <w:tcW w:w="8840" w:type="dxa"/>
            <w:tcBorders/>
            <w:shd w:fill="CCEEFF" w:val="clear"/>
            <w:vAlign w:val="center"/>
          </w:tcPr>
          <w:p>
            <w:pPr>
              <w:pStyle w:val="TableContents"/>
              <w:bidi w:val="0"/>
              <w:spacing w:before="0" w:after="283"/>
              <w:ind w:left="0" w:right="0" w:hanging="180"/>
              <w:jc w:val="left"/>
              <w:rPr/>
            </w:pPr>
            <w:hyperlink w:anchor="b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w:t>
            </w:r>
          </w:p>
        </w:tc>
      </w:tr>
      <w:tr>
        <w:trPr/>
        <w:tc>
          <w:tcPr>
            <w:tcW w:w="8840" w:type="dxa"/>
            <w:tcBorders/>
            <w:shd w:fill="FFFFFF" w:val="clear"/>
            <w:vAlign w:val="center"/>
          </w:tcPr>
          <w:p>
            <w:pPr>
              <w:pStyle w:val="TableContents"/>
              <w:bidi w:val="0"/>
              <w:spacing w:before="0" w:after="283"/>
              <w:jc w:val="left"/>
              <w:rPr/>
            </w:pPr>
            <w:hyperlink w:anchor="b_002">
              <w:r>
                <w:rPr>
                  <w:rStyle w:val="InternetLink"/>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2</w:t>
            </w:r>
          </w:p>
        </w:tc>
      </w:tr>
      <w:tr>
        <w:trPr/>
        <w:tc>
          <w:tcPr>
            <w:tcW w:w="8840" w:type="dxa"/>
            <w:tcBorders/>
            <w:shd w:fill="CCEEFF" w:val="clear"/>
            <w:vAlign w:val="center"/>
          </w:tcPr>
          <w:p>
            <w:pPr>
              <w:pStyle w:val="TableContents"/>
              <w:bidi w:val="0"/>
              <w:spacing w:before="0" w:after="283"/>
              <w:jc w:val="left"/>
              <w:rPr/>
            </w:pPr>
            <w:hyperlink w:anchor="b_003">
              <w:r>
                <w:rPr>
                  <w:rStyle w:val="InternetLink"/>
                </w:rPr>
                <w:t>OUR COMPANY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w:t>
            </w:r>
          </w:p>
        </w:tc>
      </w:tr>
      <w:tr>
        <w:trPr/>
        <w:tc>
          <w:tcPr>
            <w:tcW w:w="8840" w:type="dxa"/>
            <w:tcBorders/>
            <w:shd w:fill="FFFFFF" w:val="clear"/>
            <w:vAlign w:val="center"/>
          </w:tcPr>
          <w:p>
            <w:pPr>
              <w:pStyle w:val="TableContents"/>
              <w:bidi w:val="0"/>
              <w:spacing w:before="0" w:after="283"/>
              <w:jc w:val="left"/>
              <w:rPr/>
            </w:pPr>
            <w:hyperlink w:anchor="b_004">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14</w:t>
            </w:r>
          </w:p>
        </w:tc>
      </w:tr>
      <w:tr>
        <w:trPr/>
        <w:tc>
          <w:tcPr>
            <w:tcW w:w="8840" w:type="dxa"/>
            <w:tcBorders/>
            <w:shd w:fill="CCEEFF" w:val="clear"/>
            <w:vAlign w:val="center"/>
          </w:tcPr>
          <w:p>
            <w:pPr>
              <w:pStyle w:val="TableContents"/>
              <w:bidi w:val="0"/>
              <w:spacing w:before="0" w:after="283"/>
              <w:jc w:val="left"/>
              <w:rPr/>
            </w:pPr>
            <w:hyperlink w:anchor="b_005">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15</w:t>
            </w:r>
          </w:p>
        </w:tc>
      </w:tr>
      <w:tr>
        <w:trPr/>
        <w:tc>
          <w:tcPr>
            <w:tcW w:w="8840" w:type="dxa"/>
            <w:tcBorders/>
            <w:shd w:fill="FFFFFF" w:val="clear"/>
            <w:vAlign w:val="center"/>
          </w:tcPr>
          <w:p>
            <w:pPr>
              <w:pStyle w:val="TableContents"/>
              <w:bidi w:val="0"/>
              <w:spacing w:before="0" w:after="283"/>
              <w:jc w:val="left"/>
              <w:rPr/>
            </w:pPr>
            <w:hyperlink w:anchor="b_006">
              <w:r>
                <w:rPr>
                  <w:rStyle w:val="InternetLink"/>
                </w:rPr>
                <w:t>DESCRIPTION OF SHARE CAPITAL AND ARTICLES OF ASSOCIATION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16</w:t>
            </w:r>
          </w:p>
        </w:tc>
      </w:tr>
      <w:tr>
        <w:trPr/>
        <w:tc>
          <w:tcPr>
            <w:tcW w:w="8840" w:type="dxa"/>
            <w:tcBorders/>
            <w:shd w:fill="CCEEFF" w:val="clear"/>
            <w:vAlign w:val="center"/>
          </w:tcPr>
          <w:p>
            <w:pPr>
              <w:pStyle w:val="TableContents"/>
              <w:bidi w:val="0"/>
              <w:spacing w:before="0" w:after="283"/>
              <w:jc w:val="left"/>
              <w:rPr/>
            </w:pPr>
            <w:hyperlink w:anchor="b_007">
              <w:r>
                <w:rPr>
                  <w:rStyle w:val="InternetLink"/>
                </w:rPr>
                <w:t>DESCRIPTION OF PREFERRED SHARES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28</w:t>
            </w:r>
          </w:p>
        </w:tc>
      </w:tr>
      <w:tr>
        <w:trPr/>
        <w:tc>
          <w:tcPr>
            <w:tcW w:w="8840" w:type="dxa"/>
            <w:tcBorders/>
            <w:shd w:fill="FFFFFF" w:val="clear"/>
            <w:vAlign w:val="center"/>
          </w:tcPr>
          <w:p>
            <w:pPr>
              <w:pStyle w:val="TableContents"/>
              <w:bidi w:val="0"/>
              <w:spacing w:before="0" w:after="283"/>
              <w:jc w:val="left"/>
              <w:rPr/>
            </w:pPr>
            <w:hyperlink w:anchor="b_008">
              <w:r>
                <w:rPr>
                  <w:rStyle w:val="InternetLink"/>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29</w:t>
            </w:r>
          </w:p>
        </w:tc>
      </w:tr>
      <w:tr>
        <w:trPr/>
        <w:tc>
          <w:tcPr>
            <w:tcW w:w="8840" w:type="dxa"/>
            <w:tcBorders/>
            <w:shd w:fill="CCEEFF" w:val="clear"/>
            <w:vAlign w:val="center"/>
          </w:tcPr>
          <w:p>
            <w:pPr>
              <w:pStyle w:val="TableContents"/>
              <w:bidi w:val="0"/>
              <w:spacing w:before="0" w:after="283"/>
              <w:jc w:val="left"/>
              <w:rPr/>
            </w:pPr>
            <w:hyperlink w:anchor="b_009">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32</w:t>
            </w:r>
          </w:p>
        </w:tc>
      </w:tr>
      <w:tr>
        <w:trPr/>
        <w:tc>
          <w:tcPr>
            <w:tcW w:w="8840" w:type="dxa"/>
            <w:tcBorders/>
            <w:shd w:fill="FFFFFF" w:val="clear"/>
            <w:vAlign w:val="center"/>
          </w:tcPr>
          <w:p>
            <w:pPr>
              <w:pStyle w:val="TableContents"/>
              <w:bidi w:val="0"/>
              <w:spacing w:before="0" w:after="283"/>
              <w:jc w:val="left"/>
              <w:rPr/>
            </w:pPr>
            <w:hyperlink w:anchor="b_010">
              <w:r>
                <w:rPr>
                  <w:rStyle w:val="InternetLink"/>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35</w:t>
            </w:r>
          </w:p>
        </w:tc>
      </w:tr>
      <w:tr>
        <w:trPr/>
        <w:tc>
          <w:tcPr>
            <w:tcW w:w="8840" w:type="dxa"/>
            <w:tcBorders/>
            <w:shd w:fill="CCEEFF" w:val="clear"/>
            <w:vAlign w:val="center"/>
          </w:tcPr>
          <w:p>
            <w:pPr>
              <w:pStyle w:val="TableContents"/>
              <w:bidi w:val="0"/>
              <w:spacing w:before="0" w:after="283"/>
              <w:jc w:val="left"/>
              <w:rPr/>
            </w:pPr>
            <w:hyperlink w:anchor="b_011">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36</w:t>
            </w:r>
          </w:p>
        </w:tc>
      </w:tr>
      <w:tr>
        <w:trPr/>
        <w:tc>
          <w:tcPr>
            <w:tcW w:w="8840" w:type="dxa"/>
            <w:tcBorders/>
            <w:shd w:fill="FFFFFF" w:val="clear"/>
            <w:vAlign w:val="center"/>
          </w:tcPr>
          <w:p>
            <w:pPr>
              <w:pStyle w:val="TableContents"/>
              <w:bidi w:val="0"/>
              <w:spacing w:before="0" w:after="283"/>
              <w:jc w:val="left"/>
              <w:rPr/>
            </w:pPr>
            <w:hyperlink w:anchor="b_012">
              <w:r>
                <w:rPr>
                  <w:rStyle w:val="InternetLink"/>
                </w:rPr>
                <w:t>TAXATION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37</w:t>
            </w:r>
          </w:p>
        </w:tc>
      </w:tr>
      <w:tr>
        <w:trPr/>
        <w:tc>
          <w:tcPr>
            <w:tcW w:w="8840" w:type="dxa"/>
            <w:tcBorders/>
            <w:shd w:fill="CCEEFF" w:val="clear"/>
            <w:vAlign w:val="center"/>
          </w:tcPr>
          <w:p>
            <w:pPr>
              <w:pStyle w:val="TableContents"/>
              <w:bidi w:val="0"/>
              <w:spacing w:before="0" w:after="283"/>
              <w:jc w:val="left"/>
              <w:rPr/>
            </w:pPr>
            <w:hyperlink w:anchor="b_013">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38</w:t>
            </w:r>
          </w:p>
        </w:tc>
      </w:tr>
      <w:tr>
        <w:trPr/>
        <w:tc>
          <w:tcPr>
            <w:tcW w:w="8840" w:type="dxa"/>
            <w:tcBorders/>
            <w:shd w:fill="FFFFFF" w:val="clear"/>
            <w:vAlign w:val="center"/>
          </w:tcPr>
          <w:p>
            <w:pPr>
              <w:pStyle w:val="TableContents"/>
              <w:bidi w:val="0"/>
              <w:spacing w:before="0" w:after="283"/>
              <w:jc w:val="left"/>
              <w:rPr/>
            </w:pPr>
            <w:hyperlink w:anchor="b_014">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41</w:t>
            </w:r>
          </w:p>
        </w:tc>
      </w:tr>
      <w:tr>
        <w:trPr/>
        <w:tc>
          <w:tcPr>
            <w:tcW w:w="8840" w:type="dxa"/>
            <w:tcBorders/>
            <w:shd w:fill="CCEEFF" w:val="clear"/>
            <w:vAlign w:val="center"/>
          </w:tcPr>
          <w:p>
            <w:pPr>
              <w:pStyle w:val="TableContents"/>
              <w:bidi w:val="0"/>
              <w:spacing w:before="0" w:after="283"/>
              <w:jc w:val="left"/>
              <w:rPr/>
            </w:pPr>
            <w:hyperlink w:anchor="b_015">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42</w:t>
            </w:r>
          </w:p>
        </w:tc>
      </w:tr>
      <w:tr>
        <w:trPr/>
        <w:tc>
          <w:tcPr>
            <w:tcW w:w="8840" w:type="dxa"/>
            <w:tcBorders/>
            <w:shd w:fill="FFFFFF" w:val="clear"/>
            <w:vAlign w:val="center"/>
          </w:tcPr>
          <w:p>
            <w:pPr>
              <w:pStyle w:val="TableContents"/>
              <w:bidi w:val="0"/>
              <w:spacing w:before="0" w:after="283"/>
              <w:jc w:val="left"/>
              <w:rPr/>
            </w:pPr>
            <w:hyperlink w:anchor="b_016">
              <w:r>
                <w:rPr>
                  <w:rStyle w:val="InternetLink"/>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43</w:t>
            </w:r>
          </w:p>
        </w:tc>
      </w:tr>
      <w:tr>
        <w:trPr/>
        <w:tc>
          <w:tcPr>
            <w:tcW w:w="8840" w:type="dxa"/>
            <w:tcBorders/>
            <w:shd w:fill="CCEEFF" w:val="clear"/>
            <w:vAlign w:val="center"/>
          </w:tcPr>
          <w:p>
            <w:pPr>
              <w:pStyle w:val="TableContents"/>
              <w:bidi w:val="0"/>
              <w:spacing w:before="0" w:after="283"/>
              <w:jc w:val="left"/>
              <w:rPr/>
            </w:pPr>
            <w:hyperlink w:anchor="b_017">
              <w:r>
                <w:rPr>
                  <w:rStyle w:val="InternetLink"/>
                </w:rPr>
                <w:t>EXPENSES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44</w:t>
            </w:r>
          </w:p>
        </w:tc>
      </w:tr>
      <w:tr>
        <w:trPr/>
        <w:tc>
          <w:tcPr>
            <w:tcW w:w="8840" w:type="dxa"/>
            <w:tcBorders/>
            <w:shd w:fill="FFFFFF" w:val="clear"/>
            <w:vAlign w:val="center"/>
          </w:tcPr>
          <w:p>
            <w:pPr>
              <w:pStyle w:val="TableContents"/>
              <w:bidi w:val="0"/>
              <w:spacing w:before="0" w:after="283"/>
              <w:jc w:val="left"/>
              <w:rPr/>
            </w:pPr>
            <w:hyperlink w:anchor="b_018">
              <w:r>
                <w:rPr>
                  <w:rStyle w:val="InternetLink"/>
                </w:rPr>
                <w:t>INCORPORATION OF CERTAIN INFORMATION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45</w:t>
            </w:r>
          </w:p>
        </w:tc>
      </w:tr>
      <w:tr>
        <w:trPr/>
        <w:tc>
          <w:tcPr>
            <w:tcW w:w="8840" w:type="dxa"/>
            <w:tcBorders/>
            <w:shd w:fill="CCEEFF" w:val="clear"/>
            <w:vAlign w:val="center"/>
          </w:tcPr>
          <w:p>
            <w:pPr>
              <w:pStyle w:val="TableContents"/>
              <w:bidi w:val="0"/>
              <w:spacing w:before="0" w:after="283"/>
              <w:jc w:val="left"/>
              <w:rPr/>
            </w:pPr>
            <w:hyperlink w:anchor="b_019">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supplement, the accompanying base prospectus, and any free writing prospectus that we authorize. We have not, and D. Boral has not, authorized any other person to provide you with any information that is different. If anyone provides you with different or inconsistent information, you should not rely on it. We are not, and D. Boral is not, making an offer to sell these securities in any jurisdiction where the offer or sale is not permitted. You should assume that the information appearing in this prospectus supplement, the accompanying base prospectus, and the documents incorporated by reference herein is accurate only as of their respective dates. Our business, financial condition, results of operations, and prospects may have changed since those 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are part of a registration statement on Form F-3 (File No. 333-297167) that we filed with the Securities and Exchange Commission, or the SEC, utilizing a “shelf” registration process. Under this shelf registration process, we may from time to time sell Ordinary Shares and other securities in one or more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base prospectus and the documents incorporated by reference herein and therein. The second part, the accompanying base prospectus, provides more general information, some of which may not apply to this offering. Generally, when we refer to this prospectus, we are referring to both parts of this document combined together with all documents incorporated by reference. To the extent there is a conflict between the information contained in this prospectus supplement, on the one hand, and the information contained in the accompanying base prospectus or in any document incorporated by reference herein or therein, on the other hand, you should rely on the information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supplement and the accompanying base prospectus. We have not, and D. Boral Capital LLC has not, authorized any other person to provide you with different information. If anyone provides you with different or inconsistent information, you should not rely on it. This prospectus supplement is not an offer to sell these securities, and it is not soliciting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effected a 1-for-30 reverse stock split of its issued and outstanding Ordinary Shares. The par value of the Ordinary Shares was not adjusted as a result of the reverse stock split. Unless otherwise indicated, all share and per-share information in this prospectus supplement gives effect to the reverse stock split. The accompanying base prospectus, dated July 9, 2026, does not reflect the reverse stock split, and accordingly, all share and per-share information set forth therein is presented on a pre-reverse stock split basis. Investors should take this into account when reviewing the share and per-share data in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received a formal notification from the Listing Qualifications Department of The Nasdaq Stock Market LLC (“Nasdaq”), indicating that the Company had regained compliance with Nasdaq Listing Rule 5550(a)(2) which requires listed securities to maintain a minimum bid price of $1.00 per share (the “Rule”) and this matter was closed. Nasdaq determined that, for the 10 consecutive business days from August 4, 2026, through August 17, 2026, the closing bid price of the Company’s ordinary shares was $1.00 per share or greater. Accordingly, Nasdaq has confirmed that the Company has regained compliance with Nasdaq Listing Rule 5550(a)(2) and that the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in this prospectus supplement, “K Wave,” the “Company,” “we,” “us,” and “our” refer to K Wave Media Ltd., a Cayman Islands exempted company with limited liability,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(including information incorporated by reference) contains forward-looking statements within the meaning of Section 27A of the Securities Act and Section 21E of the Securities Exchange Act of 1934, as amended, or the Exchange Act, that involve substantial risks and uncertainties. All statements other than statements of historical facts contained in this prospectus supplement, including statements regarding our future financial position, business strategy and plans and objectives of management for future operations, are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“goals,” “targets,” “objectives,” “will,” “projects,” “believe,” “may,” “estimate,” “continue,” “anticipate,” “intend,” “should,” “plan,” “expect,” “predict,” “potential”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170"/>
        <w:gridCol w:w="2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pPr>
            <w:r>
              <w:rPr/>
              <w:t>our goals and strategies;</w:t>
            </w:r>
          </w:p>
        </w:tc>
      </w:tr>
    </w:tbl>
    <w:p>
      <w:pPr>
        <w:pStyle w:val="TextBody"/>
        <w:bidi w:val="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our future business development, financial condition and results of operations;</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introduction of new product and service offerings;</w:t>
            </w:r>
          </w:p>
        </w:tc>
      </w:tr>
    </w:tbl>
    <w:p>
      <w:pPr>
        <w:pStyle w:val="TextBody"/>
        <w:bidi w:val="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75"/>
        <w:gridCol w:w="170"/>
        <w:gridCol w:w="5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pPr>
            <w:r>
              <w:rPr/>
              <w:t>expected changes in our revenues, costs or expenditures;</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pPr>
            <w:r>
              <w:rPr/>
              <w:t>our expectations regarding the demand for and market acceptance of our products and services;</w:t>
            </w:r>
          </w:p>
        </w:tc>
      </w:tr>
    </w:tbl>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170"/>
        <w:gridCol w:w="7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expected growth of our customers, including consolidated account customers;</w:t>
            </w:r>
          </w:p>
        </w:tc>
      </w:tr>
    </w:tbl>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competition in our industry;</w:t>
            </w:r>
          </w:p>
        </w:tc>
      </w:tr>
    </w:tbl>
    <w:p>
      <w:pPr>
        <w:pStyle w:val="TextBody"/>
        <w:bidi w:val="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t>government policies and regulations relating to our industry;</w:t>
            </w:r>
          </w:p>
        </w:tc>
      </w:tr>
    </w:tbl>
    <w:p>
      <w:pPr>
        <w:pStyle w:val="TextBody"/>
        <w:bidi w:val="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other factors that may affect our financial condition, liquidity and results of operations;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risks and uncertainties described in the section entitled “Risk Factors” in this prospectus supplement and in the documents incorporated by reference into this prospectus supplement and the accompanying base prospectus.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important factors, in addition to the factors described above and in other sections of this prospectus supplement,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goals, targets, expectations and estimates included or incorporated by reference in this prospectus supplement were prepared by the Company’s management team based on information available at the time such information was developed and reflects numerous assumptions that are subject to change, including those related to general business, economic, market, and financial conditions, as well as other factors that are difficult to predict and many of which are beyond the Company’s control. The Company believes the assumptions underlying such goals, targets, expectations and estimates were reasonable at the time such information was prepared. However, important factors may affect actual results and cause the results reflected in such goals, targets, expectations and estimates not to be achieved including, among other things, risks and uncertainties relating to the Company’s business, industry performance, the regulatory environment, and general business and economic conditions, as discussed in the immediately preceding paragraph.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forward-looking statements made in this prospectus supplement relate only to events or information as of the date on which the statements are made in this prospectus supplement. Except as required by law, we undertake no obligation to update or revise publicly any estimate or forward-looking statements, whether as a result of new information, future events or otherwise, after the date on which the statements are made or to reflect the occurrence of unanticipated events. We caution you against placing undue reliance on forward-looking statements, which reflect current beliefs and are based on information currently available as of the date a forward-looking statement is made. In evaluating our forward-looking statements, you should specifically consider the risks and uncertainties described in the section entitled “Risk Factors” in this prospectus supplement and in the documents incorporated by reference into this prospectus supplement and the accompanying base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PROSPECTUS SUPPLEMENT SUMMARY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about us and this offering. This summary is not complete and does not contain all of the information you should consider before investing in our Ordinary Shares. You should read this entire prospectus supplement and the accompanying base prospectus carefully, including the section entitled “Risk Factors” and the documents incorporated by reference, before making an investment decision. This summary is qualified in its entirety by the more detailed information appearing elsewhere or incorporated by reference in this prospectus supplement and the accompanying base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Wave Media Ltd. is a Cayman Islands exempted company with limited liability. Our principal executive offices are located at 121 South Church Street, George Town, Grand Cayman, KY1-1104, Cayman Islands, and our telephone number is 703-790-0717.</w:t>
      </w:r>
    </w:p>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For additional information about us, please refer to the documents incorporated by reference in this prospectus supplement. See “</w:t>
      </w:r>
      <w:hyperlink w:anchor="a_012">
        <w:r>
          <w:rPr>
            <w:rStyle w:val="InternetLink"/>
            <w:rFonts w:ascii="Times New Roman;Times;Serif" w:hAnsi="Times New Roman;Times;Serif"/>
            <w:b w:val="false"/>
            <w:i w:val="false"/>
            <w:caps w:val="false"/>
            <w:smallCaps w:val="false"/>
            <w:sz w:val="20"/>
          </w:rPr>
          <w:t>Incorporation of Certain Information by Reference</w:t>
        </w:r>
      </w:hyperlink>
      <w:r>
        <w:rPr>
          <w:rFonts w:ascii="Times New Roman;Times;Serif" w:hAnsi="Times New Roman;Times;Serif"/>
          <w:b w:val="false"/>
          <w:i w:val="false"/>
          <w:caps w:val="false"/>
          <w:smallCaps w:val="false"/>
          <w:sz w:val="20"/>
        </w:rPr>
        <w:t>” and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 w:name="a_003a"/>
      <w:bookmarkEnd w:id="5"/>
      <w:r>
        <w:rPr>
          <w:rFonts w:ascii="Times New Roman;Times;Serif" w:hAnsi="Times New Roman;Times;Serif"/>
          <w:b/>
          <w:i w:val="false"/>
          <w:caps w:val="false"/>
          <w:smallCaps w:val="false"/>
          <w:sz w:val="20"/>
        </w:rPr>
        <w:t>Implications of Being an Emerging Growth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or the JOBS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may benefit from specified reduced disclosure and other requirements that are otherwise applicable generally to public companies. These provisions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presentation of only two years of audited financial statements and only two years of related management’s discussion and analysis of financial condition and results of operations in this prospectus;</w:t>
            </w:r>
          </w:p>
        </w:tc>
      </w:tr>
    </w:tbl>
    <w:p>
      <w:pPr>
        <w:pStyle w:val="TextBody"/>
        <w:bidi w:val="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pPr>
            <w:r>
              <w:rPr/>
              <w:t>reduced disclosure about our executive compensation arrangements;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non-binding stockholder advisory votes on executive compensation or golden parachute arrangements;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exemption from any requirement of the Public Company Accounting Oversight Board regarding mandatory audit firm rotation or a supplement to the auditor’s report providing additional information about the audit and the financial statements (</w:t>
            </w:r>
            <w:r>
              <w:rPr>
                <w:i/>
              </w:rPr>
              <w:t>i.e.</w:t>
            </w:r>
            <w:r>
              <w:rPr/>
              <w:t>, an auditor discussion and analysis);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exemption from the auditor attestation requirement in the assessment of our internal control over financial reporting.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(i) the last day of the first fiscal year in which our annual gross revenues exceed $1.235 billion; (ii) the date that we become a “large accelerated filer” as defined in Rule 12b-2 under the Exchange Act, which would occur if the market value of our Ordinary Shares that are held by non-affiliates exceeds $700 million as of the last business day of our most recently completed second fiscal quarter; (iii) the date on which we have issued more than $1.0 billion in non-convertible debt during the preceding three-year period; or (iv) the last day of the fiscal year ending after the fifth anniversary of the first sale of our common equity securities pursuant to an effective registration statement under the Securities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Foreign Private Issuer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Rule 405 under the Securities Act. As a foreign private issuer, we are exempt from certain provisions applicable to United States domestic public companies.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as many Exchange Act reports, or as frequently, as a domestic public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exempt from provisions of Regulation FD aimed at preventing issuers from making selective disclosures of material information;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officers, directors, and principal shareholders are exempt from the reporting and short-swing profit recovery provisions contained in Section 16 of the Exchange Act.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THE OFFERING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4"/>
        <w:gridCol w:w="60"/>
        <w:gridCol w:w="8101"/>
      </w:tblGrid>
      <w:tr>
        <w:trPr/>
        <w:tc>
          <w:tcPr>
            <w:tcW w:w="2044" w:type="dxa"/>
            <w:tcBorders/>
            <w:vAlign w:val="center"/>
          </w:tcPr>
          <w:p>
            <w:pPr>
              <w:pStyle w:val="TableContents"/>
              <w:bidi w:val="0"/>
              <w:spacing w:before="0" w:after="283"/>
              <w:ind w:left="0" w:right="0" w:hanging="180"/>
              <w:jc w:val="left"/>
              <w:rPr>
                <w:b/>
                <w:sz w:val="20"/>
              </w:rPr>
            </w:pPr>
            <w:r>
              <w:rPr>
                <w:b/>
                <w:sz w:val="20"/>
              </w:rPr>
              <w:t>Ordinary Shares offered by us:</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both"/>
              <w:rPr>
                <w:sz w:val="20"/>
              </w:rPr>
            </w:pPr>
            <w:r>
              <w:rPr>
                <w:sz w:val="20"/>
              </w:rPr>
              <w:t>526,314 Ordinary Shares at a price of $1.90 per share, for aggregate gross proceeds of approximately $999,996.60.</w:t>
            </w:r>
          </w:p>
        </w:tc>
      </w:tr>
      <w:tr>
        <w:trPr/>
        <w:tc>
          <w:tcPr>
            <w:tcW w:w="2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both"/>
              <w:rPr/>
            </w:pPr>
            <w:r>
              <w:rPr/>
              <w:t> </w:t>
            </w:r>
          </w:p>
        </w:tc>
      </w:tr>
      <w:tr>
        <w:trPr/>
        <w:tc>
          <w:tcPr>
            <w:tcW w:w="2044" w:type="dxa"/>
            <w:tcBorders/>
            <w:vAlign w:val="center"/>
          </w:tcPr>
          <w:p>
            <w:pPr>
              <w:pStyle w:val="TableContents"/>
              <w:bidi w:val="0"/>
              <w:spacing w:before="0" w:after="283"/>
              <w:jc w:val="left"/>
              <w:rPr>
                <w:b/>
                <w:sz w:val="20"/>
              </w:rPr>
            </w:pPr>
            <w:r>
              <w:rPr>
                <w:b/>
                <w:sz w:val="20"/>
              </w:rPr>
              <w:t>Ordinary Shares outstanding prior to this offering:</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both"/>
              <w:rPr>
                <w:sz w:val="20"/>
              </w:rPr>
            </w:pPr>
            <w:r>
              <w:rPr>
                <w:sz w:val="20"/>
              </w:rPr>
              <w:t>2,710,253 Ordinary Shares outstanding as of August 18, 2026.</w:t>
            </w:r>
          </w:p>
        </w:tc>
      </w:tr>
      <w:tr>
        <w:trPr/>
        <w:tc>
          <w:tcPr>
            <w:tcW w:w="2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left"/>
              <w:rPr/>
            </w:pPr>
            <w:r>
              <w:rPr/>
              <w:t> </w:t>
            </w:r>
          </w:p>
        </w:tc>
      </w:tr>
      <w:tr>
        <w:trPr/>
        <w:tc>
          <w:tcPr>
            <w:tcW w:w="2044" w:type="dxa"/>
            <w:tcBorders/>
            <w:vAlign w:val="center"/>
          </w:tcPr>
          <w:p>
            <w:pPr>
              <w:pStyle w:val="TableContents"/>
              <w:bidi w:val="0"/>
              <w:spacing w:before="0" w:after="283"/>
              <w:jc w:val="left"/>
              <w:rPr>
                <w:b/>
                <w:sz w:val="20"/>
              </w:rPr>
            </w:pPr>
            <w:r>
              <w:rPr>
                <w:b/>
                <w:sz w:val="20"/>
              </w:rPr>
              <w:t>Ordinary Shares to be outstanding after this offering:</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both"/>
              <w:rPr>
                <w:sz w:val="20"/>
              </w:rPr>
            </w:pPr>
            <w:r>
              <w:rPr>
                <w:sz w:val="20"/>
              </w:rPr>
              <w:t>Up to 3,236,567 Ordinary Shares, assuming the sale of all Ordinary Shares offered hereby.</w:t>
            </w:r>
          </w:p>
        </w:tc>
      </w:tr>
      <w:tr>
        <w:trPr/>
        <w:tc>
          <w:tcPr>
            <w:tcW w:w="2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left"/>
              <w:rPr/>
            </w:pPr>
            <w:r>
              <w:rPr/>
              <w:t> </w:t>
            </w:r>
          </w:p>
        </w:tc>
      </w:tr>
      <w:tr>
        <w:trPr/>
        <w:tc>
          <w:tcPr>
            <w:tcW w:w="2044" w:type="dxa"/>
            <w:tcBorders/>
            <w:vAlign w:val="center"/>
          </w:tcPr>
          <w:p>
            <w:pPr>
              <w:pStyle w:val="TableContents"/>
              <w:bidi w:val="0"/>
              <w:spacing w:before="0" w:after="283"/>
              <w:jc w:val="left"/>
              <w:rPr>
                <w:b/>
                <w:sz w:val="20"/>
              </w:rPr>
            </w:pPr>
            <w:r>
              <w:rPr>
                <w:b/>
                <w:sz w:val="20"/>
              </w:rPr>
              <w:t>Manner of offering:</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both"/>
              <w:rPr/>
            </w:pPr>
            <w:r>
              <w:rPr>
                <w:sz w:val="20"/>
              </w:rPr>
              <w:t>Registered direct offering through our placement agent, D. Boral Capital LLC. See “</w:t>
            </w:r>
            <w:hyperlink w:anchor="a_007">
              <w:r>
                <w:rPr>
                  <w:rStyle w:val="InternetLink"/>
                  <w:sz w:val="20"/>
                </w:rPr>
                <w:t>Plan of Distribution</w:t>
              </w:r>
            </w:hyperlink>
            <w:r>
              <w:rPr>
                <w:sz w:val="20"/>
              </w:rPr>
              <w:t>”</w:t>
            </w:r>
            <w:r>
              <w:rPr/>
              <w:t xml:space="preserve"> </w:t>
            </w:r>
            <w:r>
              <w:rPr>
                <w:sz w:val="20"/>
              </w:rPr>
              <w:t>on page S-11 of this prospectus supplement.</w:t>
            </w:r>
          </w:p>
        </w:tc>
      </w:tr>
      <w:tr>
        <w:trPr/>
        <w:tc>
          <w:tcPr>
            <w:tcW w:w="2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left"/>
              <w:rPr/>
            </w:pPr>
            <w:r>
              <w:rPr/>
              <w:t> </w:t>
            </w:r>
          </w:p>
        </w:tc>
      </w:tr>
      <w:tr>
        <w:trPr/>
        <w:tc>
          <w:tcPr>
            <w:tcW w:w="2044" w:type="dxa"/>
            <w:tcBorders/>
            <w:vAlign w:val="center"/>
          </w:tcPr>
          <w:p>
            <w:pPr>
              <w:pStyle w:val="TableContents"/>
              <w:bidi w:val="0"/>
              <w:spacing w:before="0" w:after="283"/>
              <w:jc w:val="left"/>
              <w:rPr>
                <w:b/>
                <w:sz w:val="20"/>
              </w:rPr>
            </w:pPr>
            <w:r>
              <w:rPr>
                <w:b/>
                <w:sz w:val="20"/>
              </w:rPr>
              <w:t>Use of proceeds:</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both"/>
              <w:rPr/>
            </w:pPr>
            <w:r>
              <w:rPr>
                <w:sz w:val="20"/>
              </w:rPr>
              <w:t>We intend to use the net proceeds from this offering for general corporate purposes, which may include, but are not limited to, working capital, acquisitions of potential business targets and general and administrative expenses. See “</w:t>
            </w:r>
            <w:hyperlink w:anchor="a_006">
              <w:r>
                <w:rPr>
                  <w:rStyle w:val="InternetLink"/>
                  <w:sz w:val="20"/>
                </w:rPr>
                <w:t>Use of Proceeds</w:t>
              </w:r>
            </w:hyperlink>
            <w:r>
              <w:rPr>
                <w:sz w:val="20"/>
              </w:rPr>
              <w:t>” on page S-9 of this prospectus supplement.</w:t>
            </w:r>
          </w:p>
        </w:tc>
      </w:tr>
      <w:tr>
        <w:trPr/>
        <w:tc>
          <w:tcPr>
            <w:tcW w:w="2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left"/>
              <w:rPr/>
            </w:pPr>
            <w:r>
              <w:rPr/>
              <w:t> </w:t>
            </w:r>
          </w:p>
        </w:tc>
      </w:tr>
      <w:tr>
        <w:trPr/>
        <w:tc>
          <w:tcPr>
            <w:tcW w:w="2044" w:type="dxa"/>
            <w:tcBorders/>
            <w:vAlign w:val="center"/>
          </w:tcPr>
          <w:p>
            <w:pPr>
              <w:pStyle w:val="TableContents"/>
              <w:bidi w:val="0"/>
              <w:spacing w:before="0" w:after="283"/>
              <w:jc w:val="left"/>
              <w:rPr>
                <w:b/>
                <w:sz w:val="20"/>
              </w:rPr>
            </w:pPr>
            <w:r>
              <w:rPr>
                <w:b/>
                <w:sz w:val="20"/>
              </w:rPr>
              <w:t>Risk factors:</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both"/>
              <w:rPr/>
            </w:pPr>
            <w:r>
              <w:rPr>
                <w:sz w:val="20"/>
              </w:rPr>
              <w:t>Investing in our Ordinary Shares involves a high degree of risk. You should carefully consider the information set forth in the section of this prospectus supplement entitled “</w:t>
            </w:r>
            <w:hyperlink w:anchor="a_005">
              <w:r>
                <w:rPr>
                  <w:rStyle w:val="InternetLink"/>
                  <w:sz w:val="20"/>
                </w:rPr>
                <w:t>Risk Factors</w:t>
              </w:r>
            </w:hyperlink>
            <w:r>
              <w:rPr>
                <w:sz w:val="20"/>
              </w:rPr>
              <w:t>” beginning on page S-7 and in our most recent Annual Report on Form 20-F before deciding to invest in our Ordinary Shares.</w:t>
            </w:r>
          </w:p>
        </w:tc>
      </w:tr>
      <w:tr>
        <w:trPr/>
        <w:tc>
          <w:tcPr>
            <w:tcW w:w="2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left"/>
              <w:rPr/>
            </w:pPr>
            <w:r>
              <w:rPr/>
              <w:t> </w:t>
            </w:r>
          </w:p>
        </w:tc>
      </w:tr>
      <w:tr>
        <w:trPr/>
        <w:tc>
          <w:tcPr>
            <w:tcW w:w="2044" w:type="dxa"/>
            <w:tcBorders/>
            <w:vAlign w:val="center"/>
          </w:tcPr>
          <w:p>
            <w:pPr>
              <w:pStyle w:val="TableContents"/>
              <w:bidi w:val="0"/>
              <w:spacing w:before="0" w:after="283"/>
              <w:jc w:val="left"/>
              <w:rPr>
                <w:b/>
                <w:sz w:val="20"/>
              </w:rPr>
            </w:pPr>
            <w:r>
              <w:rPr>
                <w:b/>
                <w:sz w:val="20"/>
              </w:rPr>
              <w:t>Nasdaq symbol:</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both"/>
              <w:rPr/>
            </w:pPr>
            <w:r>
              <w:rPr/>
              <w:t>“</w:t>
            </w:r>
            <w:r>
              <w:rPr>
                <w:sz w:val="20"/>
              </w:rPr>
              <w:t>KWM”.</w:t>
            </w:r>
          </w:p>
        </w:tc>
      </w:tr>
      <w:tr>
        <w:trPr/>
        <w:tc>
          <w:tcPr>
            <w:tcW w:w="2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ind w:left="0" w:right="0" w:hanging="180"/>
              <w:jc w:val="left"/>
              <w:rPr/>
            </w:pPr>
            <w:r>
              <w:rPr/>
              <w:t> </w:t>
            </w:r>
          </w:p>
        </w:tc>
      </w:tr>
      <w:tr>
        <w:trPr/>
        <w:tc>
          <w:tcPr>
            <w:tcW w:w="2044" w:type="dxa"/>
            <w:tcBorders/>
            <w:vAlign w:val="center"/>
          </w:tcPr>
          <w:p>
            <w:pPr>
              <w:pStyle w:val="TableContents"/>
              <w:bidi w:val="0"/>
              <w:spacing w:before="0" w:after="283"/>
              <w:jc w:val="left"/>
              <w:rPr>
                <w:b/>
                <w:sz w:val="20"/>
              </w:rPr>
            </w:pPr>
            <w:r>
              <w:rPr>
                <w:b/>
                <w:sz w:val="20"/>
              </w:rPr>
              <w:t>Baby shelf limitation:</w:t>
            </w:r>
          </w:p>
        </w:tc>
        <w:tc>
          <w:tcPr>
            <w:tcW w:w="60" w:type="dxa"/>
            <w:tcBorders/>
            <w:vAlign w:val="center"/>
          </w:tcPr>
          <w:p>
            <w:pPr>
              <w:pStyle w:val="TableContents"/>
              <w:bidi w:val="0"/>
              <w:spacing w:before="0" w:after="283"/>
              <w:jc w:val="left"/>
              <w:rPr/>
            </w:pPr>
            <w:r>
              <w:rPr/>
              <w:t> </w:t>
            </w:r>
          </w:p>
        </w:tc>
        <w:tc>
          <w:tcPr>
            <w:tcW w:w="8101" w:type="dxa"/>
            <w:tcBorders/>
            <w:vAlign w:val="center"/>
          </w:tcPr>
          <w:p>
            <w:pPr>
              <w:pStyle w:val="TableContents"/>
              <w:bidi w:val="0"/>
              <w:spacing w:before="0" w:after="283"/>
              <w:jc w:val="both"/>
              <w:rPr>
                <w:sz w:val="20"/>
              </w:rPr>
            </w:pPr>
            <w:r>
              <w:rPr>
                <w:sz w:val="20"/>
              </w:rPr>
              <w:t>Under General Instruction I.B.5 of Form F-3, in no event may we sell securities pursuant to this prospectus supplement with a value exceeding more than one-third of our public float in any 12-month period so long as our public float remains below $75.0 million.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Ordinary Shares involves a high degree of risk. Before deciding whether to invest in our Ordinary Shares, you should consider carefully the risks described below and discussed under the section captioned “Risk Factors” contained in our most recent Annual Report on Form 20-F, which is incorporated by reference in this prospectus supplement and the accompanying base prospectus, together with other information in this prospectus supplement and the accompanying base prospectus, the documents incorporated by reference, and any free writing prospectus that we may authorize for use in connection with this offering. If any of the following risks actually occur, our business, financial condition, results of operations, or cash flows could be materially and adversely affected. In such case, the trading price of our Ordinary Shares could decline, and you could lose all or part of your investment. The risks described below and in the documents referenced above are not the only ones that we face. Additional risks not presently known to us or that we currently deem immaterial may also affect our 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broad discretion in the use of the net proceeds from this offering and may not use them effectively.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general corporate purposes. Our management will have broad discretion in the application of the net proceeds from this offering and could spend the proceeds in ways that do not improve our results of operations or enhance the value of our Ordinary Shares. The failure by our management to apply these funds effectively could result in financial losses that could have a material adverse effect on our business, cause the price of our Ordinary Shares to decline, and delay the development of our business. Pending their use, we may invest the net proceeds from this offering in a manner that does not produce income or that loses value.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will experience immediate dilution in the net tangible book value per share of the Ordinary Shares you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offering price per Ordinary Share in this offering exceeds the net tangible book value per Ordinary Share outstanding prior to this offering. Based on a net tangible book value of $-25.56 per Ordinary Share as of August 18, 2026, and after giving effect to the sale of 526,314 Ordinary Shares at the offering price of $1.90 per share and after deducting the Placement Agent fees and estimated offering expenses payable by us, our as adjusted net tangible book value as of August 18, 2026 would have been approximately $-21.09 per Ordinary Share. This represents an immediate increase of $4.47 per share to existing shareholders and an immediate dilution of $22.99 per share to new investors. See “</w:t>
      </w:r>
      <w:hyperlink w:anchor="a_014">
        <w:r>
          <w:rPr>
            <w:rStyle w:val="InternetLink"/>
            <w:rFonts w:ascii="Times New Roman;Times;Serif" w:hAnsi="Times New Roman;Times;Serif"/>
            <w:b w:val="false"/>
            <w:i w:val="false"/>
            <w:caps w:val="false"/>
            <w:smallCaps w:val="false"/>
            <w:sz w:val="20"/>
          </w:rPr>
          <w:t>Dilution</w:t>
        </w:r>
      </w:hyperlink>
      <w:r>
        <w:rPr>
          <w:rFonts w:ascii="Times New Roman;Times;Serif" w:hAnsi="Times New Roman;Times;Serif"/>
          <w:b w:val="false"/>
          <w:i w:val="false"/>
          <w:caps w:val="false"/>
          <w:smallCaps w:val="false"/>
          <w:sz w:val="20"/>
        </w:rPr>
        <w:t>” on page S-10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Ordinary Shares or other securities convertible into or exchangeable for our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issuance of Ordinary Shares in this offering will result in significant dilution to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are selling 526,314 Ordinary Shares in this offering at a price of $1.90 per share. Investors purchasing Ordinary Shares in this offering will experience immediate dilution in the amount of $22.99 per share, based on the difference between the offering price per Ordinary Share and our as adjusted net tangible book value per share after giving effect to this offering. In addition, to the extent that outstanding warrants, convertible notes (including the SPA Notes held by the Anson Funds), or stock options are exercised or converted, investors purchasing shares in this offering could experience further dilution. We also may choose to raise additional capital due to market conditions or strategic considerations, even if we believe we have sufficient funds for our current or future operating plans. To the extent that additional capital is raised through the future sale of equity or convertible debt securities, the issuance of such securities could result in further dilution to our shareholders. See “</w:t>
      </w:r>
      <w:hyperlink w:anchor="a_014">
        <w:r>
          <w:rPr>
            <w:rStyle w:val="InternetLink"/>
            <w:rFonts w:ascii="Times New Roman;Times;Serif" w:hAnsi="Times New Roman;Times;Serif"/>
            <w:b w:val="false"/>
            <w:i w:val="false"/>
            <w:caps w:val="false"/>
            <w:smallCaps w:val="false"/>
            <w:sz w:val="20"/>
          </w:rPr>
          <w:t>Dilution</w:t>
        </w:r>
      </w:hyperlink>
      <w:r>
        <w:rPr>
          <w:rFonts w:ascii="Times New Roman;Times;Serif" w:hAnsi="Times New Roman;Times;Serif"/>
          <w:b w:val="false"/>
          <w:i w:val="false"/>
          <w:caps w:val="false"/>
          <w:smallCaps w:val="false"/>
          <w:sz w:val="20"/>
        </w:rPr>
        <w:t>” on page S-10 of this prospectus supplement for a more detailed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will have broad discretion in the use of the net proceeds from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the net proceeds from this offering. You may not agree with the decisions our management makes, and our use of the proceeds may not yield a favorable return on your investment. Our failure to apply the net proceeds of this offering effectively could compromise our ability to pursue our growth strategy and could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designated any specific use for the net proceeds of this offering. Accordingly, investors in this offering will be relying on the judgment of our management regarding the application of the net proceeds. Pending their use, we intend to invest the net proceeds in a variety of capital preservation instruments, including short-term, investment-grade, interest-bearing instruments and U.S. government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sale of a substantial number of our Ordinary Shares in this offering, or the perception that such sales may occur, could cause the price of our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our Ordinary Shares in this offering could cause the market price of our Ordinary Shares to decline. Investors in this offering may resell the Ordinary Shares purchased hereby in the public market shortly after the closing of this offering, which could place downward pressure on the trading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price of our Ordinary Shares may decline as a result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 substantial number of our Ordinary Shares in this offering, or the perception that such sales may occur, could cause the market price of our Ordinary Shares to decline. In addition, the Ordinary Shares sold in this offering may be resold in the public market immediately following the closing of this offering, which could put significant downward pressure on the trading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price of our Ordinary Shares may be volatile and may be affected by market conditions beyond our control, and purchasers of our securities in this offering could incur substantial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 price has been volatile. As a result of this volatility, investors may experience losses on their investment in our Ordinary Shares. We may incur rapid and substantial increases or decreases in our share price in the foreseeable future that may or may not coincide in timing with the disclosure of news or developments by us. In addition, the stock markets in general have experienced extreme volatility that has often been unrelated to the operating performance of the applicable issuers.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Baby Shelf Limitation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subject to the “baby shelf” limitation under General Instruction I.B.5 of Form F-3, which limits the amount of securities we may sell under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public float is below $75.0 million, under General Instruction I.B.5 of Form F-3, the amount of funds we can raise through primary public offerings of securities in any twelve-month period using a registration statement on Form F-3 is limited to one-third of the aggregate market value of our Ordinary Shares held by non-affiliates, or our public float. This limitation may impair our ability to raise capital through public offerings, which could adversely affect our operations and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will be approximately $999,996.60, after deducting the Placement Agent’s fees and our estimated offering expenses. However, because this is a best efforts offering with no minimum number of Ordinary Shares or minimum aggregate amount of proceeds as a condition to closing, the actual offering amount and proceeds to us, if any, are not determinable at this time and may be substantially less than the maximum set forth on the cover page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after deducting the Placement Agent’s fees and our estimated offering expenses, for general corporate purposes, which may include, but are not limited to, working capital, acquisitions of potential business targets and general and administrative expenses, capital expenditures, and potential strategic transactions. We have not designated any specific use for the net proceeds of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cannot specify with certainty all of the particular uses for the net proceeds to be received upon the completion of this offering. The amounts and timing of our actual expenditures and the extent of our investments will depend on numerous factors. Accordingly, our management will have broad discretion in the application of the net proceeds, and investors will be relying on the judgment of our management regarding the application of the net proceeds of this offering.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14"/>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Ordinary Shares in this offering, your ownership interest will be immediately diluted to the extent of the difference between the offering price per Ordinary Share and the as adjusted net tangible book value per Ordinary Share after giving effect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August 18, 2026 was approximately $-69,275,210, or approximately $-25.56 per Ordinary Share, based on 2,710,253 Ordinary Shares outstanding as of that date. Net tangible book value per share is determined by dividing our total tangible assets, less total liabilities, by the number of Ordinary Shares outstanding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526,314 Ordinary Shares in this offering at a public offering price of $1.90 per Ordinary Share and after deducting the Placement Agent’s fees and estimated offering expenses payable by us, our as adjusted net tangible book value as of August 18, 2026 would have been approximately $-68,275,210, or approximately $-21.09 per Ordinary Share. This represents an immediate increase in net tangible book value of $4.47 per share to existing shareholders and an immediate dilution in net tangible book value of $22.99 per share to new investors purchasing Ordinary Shares in this offering. The following table illustrates this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 per Ordinary Share: $1.90; Net tangible book value per share as of August 18, 2026: $-69,275,210; Increase in net tangible book value per share attributable to this offering: $1,000,000; As adjusted net tangible book value per share after giving effect to this offering: $-21.09; Dilution per share to new investors: $22.99.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does not take into account further dilution to new investors that could occur upon the exercise or conversion of outstanding securities having a per share exercise or conversion price less than the per share offering price to new investors in this offering, including (i) 136,549 Ordinary Shares issuable upon exercise of the SPA Warrants at a weighted average exercise price of $109.85 per share, (ii) 1,677,903 Ordinary Shares issuable upon conversion of the SPA Notes, (iii) 328,274 Ordinary Shares issuable upon exercise of the Public Warrants at an exercise price of $345.00 per share, and (iv) 6,667 Ordinary Shares issuable upon exercise of the Galaxy Warrants at an exercise price of $82.50 per share. To the extent these outstanding securities are exercised or converted, there will be further dilution to investors purchasing Ordinary Shares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use of the proceeds from this offering, we intend to invest the net proceeds in a variety of capital preservation instruments, including short-term, investment-grade, interest-bearing instruments and U.S. government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7"/>
      <w:bookmarkEnd w:id="10"/>
      <w:r>
        <w:rPr>
          <w:rFonts w:ascii="Times New Roman;Times;Serif" w:hAnsi="Times New Roman;Times;Serif"/>
          <w:b/>
          <w:i w:val="false"/>
          <w:caps w:val="false"/>
          <w:smallCaps w:val="false"/>
          <w:sz w:val="20"/>
        </w:rPr>
        <w:t>PLAN OF DISTRIBUTION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Placement Agency Agreement, or the Placement Agency Agreement, with D. Boral Capital LLC, or D. Boral, under which D. Boral has agreed to act as our exclusive placement agent in connection with this offering of our Ordinary Shares. The Placement Agency Agreement does not give rise to any commitment by D. Boral to purchase any of our Ordinary Shares, and D. Boral has no obligation or duty to us to identify purchasers of Ordinary Shares or to place any Ordinary Shares on our behalf. A copy of the Placement Agency Agreement has been filed as an exhibit to a Report on Form 6-K filed with the SEC and is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replaces and supersedes the prospectus supplement, dated August 3, 2026, relating to an at-the-market offering of up to $5,058,329 of the Company’s Ordinary Shares under an equity distribution agreement. The prospectus supplement was filed in error, and no equity distribution agreement had been entered into by the Company and D. Boral Capital LLC at that time. The at-the-market offering described in that prospectus supplement did not proceed, and no sales of Ordinary Shares had been or will be made pursuant to that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526,314 Ordinary Shares at an offering price of $1.90 per share directly to certain institutional investors pursuant to this prospectus supplement and the accompanying base prospectus. D. Boral has no authority to bind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D. Boral a placement agent fee equal to 7.0% of the aggregate gross proceeds raised in this offering.</w:t>
      </w:r>
    </w:p>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615"/>
        <w:gridCol w:w="60"/>
        <w:gridCol w:w="125"/>
        <w:gridCol w:w="950"/>
        <w:gridCol w:w="60"/>
        <w:gridCol w:w="60"/>
        <w:gridCol w:w="125"/>
        <w:gridCol w:w="950"/>
        <w:gridCol w:w="75"/>
      </w:tblGrid>
      <w:tr>
        <w:trPr/>
        <w:tc>
          <w:tcPr>
            <w:tcW w:w="261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999,996.60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 fees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69,999.76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929,996.84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929,996.84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to reimburse D. Boral for certain specified expenses, including the fees and disbursements of its legal counsel, in an amount not to exceed $75,000 (excluding reimbursable fees and expenses of third-party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this offering to close on or about August 20, 2026, subject to the satisfaction of customary closing conditions. On the closing date, the following will occur: (i) we will receive funds in the amount of the aggregate purchase price; (ii) we will deliver the Ordinary Shares to the investors via The Depository Trust Company’s DWAC (Deposit/Withdrawal at Custodian) system; and (iii) we will pay the placement agent fees and any other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has agreed to use its reasonable best efforts to arrange for the sale of the Ordinary Shares offered hereby. This offering is being conducted on a “best efforts” basis and D. Boral has no obligation to purchase any Ordinary Shares from us or to arrange for the purchase or sale of any specific number or dollar amount of Ordinary Shares. D. Boral is not purchasing or selling any Ordinary Shares pursuant to this prospectus supplement, nor is it required to arrange the purchase or sale of any specific number or dollar amount of Ordinary Shares, but has agreed to use its reasonable best efforts to arrange for the sale of all of the Ordinary Shares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D. Boral against certain liabilities, including liabilities under the Securities Act, and to contribute to payments D. Boral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D. Boral may be deemed to be an “underwriter” within the meaning of the Securities Act, and any commissions received by D. Boral and any profit realized on the resale of Ordinary Shares sold by it while acting as principal might be deemed to be underwriting discounts or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will not engage in any market making activities involving our Ordinary Shares while this offering is ongoing under this prospectus supplement if such activity would be prohibited under Regulation M or other anti-manipulation rules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upon the earlier of (i) the sale of all Ordinary Shares offered pursuant to this prospectus supplement, and (ii) the termination of the Placement Agency Agreement as permitted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Placement Agency Agreement does not purport to be a complete statement of its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business, D. Boral may actively trade our securities for its own account or for the accounts of customers, and, accordingly, D. Boral may at any time hold long or short positions in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the accompanying base prospectus in electronic format may be made available on websites maintained by D. Boral, and D. Boral may distribute the prospectus supplement and the accompanying base prospectus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and/or its affiliates may in the future provide various investment banking, commercial banking, financial advisory, and other financial services for us and our affiliates, for which services they may in the future receive customary fees. To the extent required by Regulation M, D. Boral will not engage in any market making activities involving our Ordinary Shares while the offering is ongoing under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our engagement with D. Boral, for a period of 12 months following the closing of this offering, D. Boral has a right of first refusal to act as the sole and exclusive bookrunning underwriter and/or sole placement agent or exclusive financial advisor in connection with any financing or other corporate transaction undertaken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during the term of the Placement Agency Agreement or within 12 months thereafter, we consummate any public or private financing with an investor introduced, contacted, or otherwise sourced, directly or indirectly, by D. Boral during or prior to the term, D. Boral will be entitled to a cash fee equal to 7.0% of the gross proceeds received by us from such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Boral Capital LLC’s principal office is located at 590 Madison Avenue, 39th Floor, New York, New York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08"/>
      <w:bookmarkEnd w:id="11"/>
      <w:r>
        <w:rPr>
          <w:rFonts w:ascii="Times New Roman;Times;Serif" w:hAnsi="Times New Roman;Times;Serif"/>
          <w:b/>
          <w:i w:val="false"/>
          <w:caps w:val="false"/>
          <w:smallCaps w:val="false"/>
          <w:sz w:val="20"/>
        </w:rPr>
        <w:t>DESCRIPTION OF SECURITIES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our ordinary shares, par value $0.003 per share, or Ordinary Shares pursuant to this prospectus supplement and the accompanying base prospectus. The following is a brief summary of the material terms and rights of our Ordinary Shares. For a more complete description of our Ordinary Shares, you should refer to the description of our share capital contained in our registration statement on Form 8-A, as filed with the SEC on May 13, 2025, which is incorporated by reference into this prospectus supplement and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990,000,000 Ordinary Shares and 90,000,000 preference shares, par value $0.003 per share. As of August 18, 2026, there were 2,710,253 Ordinary Shares issued and outstanding. Our Ordinary Shares are listed on The Nasdaq Capital Market under the symbol “KWM.”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one vote per share on all matters submitted to a vote of shareholders. Holders of Ordinary Shares are entitled to receive ratably such dividends, if any, as may be declared from time to time by our board of directors out of funds legally available therefor. In the event of our liquidation, dissolution, or winding up, holders of our Ordinary Shares are entitled to share ratably in all assets remaining after payment of liabilities, subject to any prior distribution rights of any outstanding preference shares. Our Ordinary Shares have no preemptive, conversion, or other subscription rights, and there are no redemption or sinking fund provisions applicable to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Continental Stock Transfer &amp; Trust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09"/>
      <w:bookmarkEnd w:id="12"/>
      <w:r>
        <w:rPr>
          <w:rFonts w:ascii="Times New Roman;Times;Serif" w:hAnsi="Times New Roman;Times;Serif"/>
          <w:b/>
          <w:i w:val="false"/>
          <w:caps w:val="false"/>
          <w:smallCaps w:val="false"/>
          <w:sz w:val="20"/>
        </w:rPr>
        <w:t>MATERIAL U.S. FEDERAL INCOME TAX CONSEQUENCES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United States federal income tax consequences of the ownership and disposition of our Ordinary Shares. This summary is based upon provisions of the Internal Revenue Code of 1986, as amended, or the Code, and regulations, rulings, and judicial decisions as of the date hereof. Those authorities may be changed, perhaps retroactively, so as to result in United States federal income tax consequences different from those summarized below. This summary does not address all of the United States federal income tax consequences that may be relevant to you in light of your particular circumstances, nor does it address the Medicare tax on net investment income, United States federal estate and gift taxes, or the effects of any state, local, or non-United States tax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the Company. No Cayman Islands withholding tax will be imposed upon the payment of dividends by the Company to its shareholders. 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Residence for U.S. Federal Income Tax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K Wave Media Ltd. is incorporated under the laws of the Cayman Islands, as a result of the Business Combination with Global Star Acquisition Inc., K Wave expects that it will be taxed as a U.S. corporation for U.S. federal income tax purposes under Section 7874 of the Code, and that K Wave will, among other consequences, be liable for U.S. federal income tax on its income. This discussion assumes that Section 7874 of the Code continues to apply to treat K Wave as a U.S. corporation for all purposes under the Code. If, for some reason, K Wave were no longer treated as a U.S. corporation under the Code, the U.S. federal income tax consequences described herein could be materially and adversely affected. Because under Section 7874 of the Code K Wave is treated as a U.S. corporation for U.S. federal income tax purposes, it cannot be a “passive foreign investment company” under Section 1297 of the Code.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summary does not represent a detailed description of the United States federal income tax consequences applicable to persons that or who are subject to special treatment under the United States federal income tax laws, including without limitation: banks or other financial institutions; insurance companies; mutual funds; pension or retirement plans; S corporations; broker or dealers in securities or currencies; traders in securities that elect mark-to-market treatment; regulated investment companies; real estate investment trusts; trusts or estates; tax-exempt organizations (including private foundations); persons that hold the Ordinary Shares as part of a “straddle,” “hedge,” “conversion,” “synthetic security,” “constructive ownership transaction,” “constructive sale,” or other integrated transaction for U.S. federal income tax purposes; persons that have a functional currency other than the U.S. dollar; certain U.S. expatriates or former long-term residents of the United States; persons owning (directly, indirectly, or constructively) 5% (by vote or value) or more of our stock; persons that acquired the Ordinary Shares pursuant to an exercise of employee stock options or otherwise as compensation; partnerships or other entities or arrangements treated as pass-through entities for U.S. federal income tax purposes and investors in such entities; “controlled foreign corporations” within the meaning of Section 957(a) of the Code; and corporations that accumulate earnings to avoid U.S. federal income tax.</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the term “U.S. Holder” means a beneficial owner of Ordinary Shares, that is, for U.S. federal income tax purposes: (i) an individual who is a citizen or resident of the United States; (ii) a corporation (or other entity that is classified as a corporation for U.S. federal income tax purposes) that is created or organized in or under the laws of the United States or any State thereof or the District of Columbia; (iii) an estate the income of which is subject to U.S. federal income tax regardless of its source; or (iv) a trust (a) if a court within the United States is able to exercise primary supervision over the administration of the trust and one or more U.S. persons have the authority to control all substantial decisions of the trust, or (b) that has a valid election in effect under applicable Treasury Regulations to be treated as a U.S. person for U.S. federal income tax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means a beneficial owner of Ordinary Shares that is neither a U.S. Holder nor a partnership (or an entity or arrangement treated as a partnership) for U.S. federal income tax purposes. If a partnership (or other entity or arrangement treated as a partnership for United States federal income tax purposes) holds our Ordinary Shares, the tax treatment of a partner generally will depend upon the status of the partner and the activities of the partnership. If you are a partnership or a partner of a partnership considering an investment in our Ordinary Shares, you should consult your tax advisors.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 to U.S. 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amount of any distribution on our Ordinary Shares that is made out of our current and accumulated earnings and profits (as determined for U.S. federal income tax purposes) will generally be taxable to a U.S. Holder as ordinary dividend income on the date such distribution is actually or constructively received by such U.S. Holder. Any such dividends paid to corporate U.S. Holders generally will qualify for a dividends received deduction (pursuant to which a portion of the dividend may be deducted) if the requisite holding period is satisfied. Subject to applicable requirements and limitations, dividends paid to a non-corporate U.S. Holder generally will constitute “qualified dividends” that will be subject to tax at the preferential tax rate accorded to long-term capital gains.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applicable to qualified dividends. In addition, the rate reduction will not apply to dividends if the recipient of a dividend is obligated to make related payments with respect to positions in substantially similar or related property. This disallowance applies even if the minimum holding period has been met.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any distribution on our Ordinary Shares exceeds our current and accumulated earnings and profits for a taxable year (as determined under U.S. federal income tax principles), the distribution will first be treated as a tax-free return of capital, causing a reduction (but not below zero) in the adjusted basis of the U.S. Holder’s Ordinary Shares, and to the extent the amount of the distribution exceeds the U.S. Holder’s tax basis, the excess will be taxed as capital gain recognized on a sale or exchange. However, we may not calculate earnings and profits in accordance with U.S. federal income tax principles. In such event, a U.S. Holder should expect to generally treat distributions on our Ordinary Shares as dividends.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Exchange, or Other Taxable Disposition of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on any sale, exchange, or other taxable disposition of our Ordinary Shares in an amount equal to the difference between the amount realized on the disposition and such U.S. Holder’s adjusted tax basis in such Ordinary Shares. Any gain or loss recognized by a U.S. Holder on a taxable disposition of Ordinary Shares will generally be capital gain or loss and will be long-term capital gain or loss if the holder’s holding period in the Ordinary Shares exceeds one year at the time of the disposition. Long-term capital gains recognized by non-corporate U.S. Holders are generally eligible for reduced rates of tax. The deductibility of capital losses is subject to limitations.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or loss recognized will generally be equal to the difference between (i) the sum of the amount of cash and the fair market value of any property received in such disposition and (ii) the U.S. Holder’s adjusted tax basis in its Ordinary Shares so disposed of. A U.S. Holder’s adjusted tax basis in its Ordinary Shares will generally equal the U.S. Holder’s acquisition cost for such shares, less any prior distributions treated as a return of capital. If the U.S. Holder’s holding period for its Ordinary Shares so disposed of is one year or less, any gain on a sale or other taxable disposition of the shares would be subject to short-term capital gain treatment and would be taxed at ordinary income tax rates.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 to Non-U.S. 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 A Non-U.S. Holder who wishes to claim the benefit of an applicable treaty rate and avoid backup withholding for dividends will be required (a) to provide the applicable withholding agent with a properly executed IRS Form W-8BEN or Form W-8BEN-E (or other applicable form) certifying under penalty of perjury that such holder is not a United States person as defined under the Code and is eligible for treaty benefits or (b) if our Ordinary Shares are held through certain foreign intermediaries, to satisfy the relevant certification requirements of applicable United States Treasury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Disposition of Ordinary Shares by Non-U.S. 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of backup withholding below, any gain realized by a Non-U.S. Holder on the sale or other disposition of our Ordinary Shares generally will not be subject to United States federal income tax unless: (i) the gain is effectively connected with a trade or business of the Non-U.S. Holder in the United States (and, if required by an applicable income tax treaty, is attributable to a United States permanent establishment of the Non-U.S. Holder); (ii) the Non-U.S. Holder is an individual who is present in the United States for 183 days or more in the taxable year of that disposition, and certain other conditions are met; or (iii) we are or have been a “United States real property holding corporation” for United States federal income tax purposes and certain other conditions are met. A Non-U.S. Holder described in clause (i) above will be subject to tax on the gain in the same manner as if the Non-U.S. Holder were a United States person as defined under the Code, and if such Non-U.S. Holder is a foreign corporation, the gain may also be subject to an additional “branch profits tax” at a 30% rate or such lower rate as may be specified by an applicable income tax treaty. An individual Non-U.S. Holder described in clause (ii) above will be subject to a 30% tax (or such lower rate as may be specified by an applicable income tax treaty) on the gain, which may be offset by United States source capital losses. We believe we are not and do not anticipate becoming a “United States real property holding corporation” for United States federal income tax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will apply to dividends in respect of our Ordinary Shares and the proceeds from the sale, exchange, or other disposition of our Ordinary Shares that are paid to U.S. Holders within the United States (and in certain cases, outside the United States), unless such U.S. Holder is an exempt recipient. A backup withholding tax may apply to such payments if the U.S. Holder fails to provide a taxpayer identification number or certification of exempt status or fails to report in full dividend and interest income. Backup withholding is not an additional tax and any amounts withheld under the backup withholding rules will be allowed as a refund or a credit against a U.S. Holder’s U.S. federal income tax liability, if any, provided the required information is timely furnished to the IRS.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paid to a Non-U.S. Holder and the amount of any tax withheld with respect to such distributions generally will be reported to the IRS. 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 Information reporting and, depending on the circumstances, backup withholding will apply to the proceeds of a sale or other disposition of our Ordinary Shares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 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Withholding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Sections 1471 through 1474 of the Code (such Sections commonly referred to as “FATCA”), a 30% United States federal withholding tax may apply to any dividends paid on our Ordinary Shares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an applicable withholding agent may credit the withholding under FATCA against, and therefore reduce, such other withholding tax. While withholding under FATCA would also have applied to payments of gross proceeds from the sale or other taxable disposition of our Ordinary Shares,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ABOVE IS A GENERAL SUMMARY. IT DOES NOT COVER ALL TAX MATTERS THAT MAY BE OF IMPORTANCE TO A PARTICULAR INVESTOR. EACH PROSPECTIVE INVESTOR IS URGED TO CONSULT ITS OWN TAX ADVISOR ABOUT THE TAX CONSEQUENCES TO IT OF AN INVESTMENT IN OUR ORDINARY SHARES IN LIGHT OF THE INVESTOR’S OWN CIRCUMSTANCES.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10"/>
      <w:bookmarkEnd w:id="13"/>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this offering will be passed upon for us by Duane Morris LLP with respect to matters of United States federal securities law. The validity of the Ordinary Shares offered in this offering and certain other legal matters as to Cayman Islands law will be passed upon for us by Maples and Calder (Cayman) LLP. D. Boral Capital LLC is being represented in connection with this offering by Sichenzia Ross Ference Carmel LLP.</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1"/>
      <w:bookmarkEnd w:id="14"/>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supplement have been so incorporated in reliance upon the reports of Samil PricewaterhouseCoopers, an independent registered public accounting firm, given upon the authority of said firm as experts in auditing and accounting.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2"/>
      <w:bookmarkEnd w:id="15"/>
      <w:r>
        <w:rPr>
          <w:rFonts w:ascii="Times New Roman;Times;Serif" w:hAnsi="Times New Roman;Times;Serif"/>
          <w:b/>
          <w:i w:val="false"/>
          <w:caps w:val="false"/>
          <w:smallCaps w:val="false"/>
          <w:sz w:val="20"/>
        </w:rPr>
        <w:t>INCORPORATION OF CERTAIN INFORMATION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considered to be part of this prospectus supplement. Information in documents that we file later with the SEC will automatically update and supersede information in this prospectus supplement. We incorporate by reference into this prospectus supplement and the accompanying base prospectus the documents listed below and any future filings made by us with the SEC under Sections 13(a), 13(c), or 15(d) of the Exchange Act (other than documents or information deemed to have been furnished and not filed in accordance with SEC rules, unless otherwise specified) after the date of this prospectus supplement and until the termination of the offering under this prospectus supplement:</w:t>
      </w:r>
    </w:p>
    <w:p>
      <w:pPr>
        <w:pStyle w:val="TextBody"/>
        <w:bidi w:val="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9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SEC on May 15,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Reports on Form 6-K furnished or filed with the SEC after the date of this prospectus supplement that are identified as being incorporated by reference herein;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Ordinary Shares contained in our registration statement on </w:t>
            </w:r>
            <w:hyperlink r:id="rId3">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as filed with the SEC on May 13, 2025, including any amendments or reports filed for the purpose of updating such description.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supplement or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supplement is delivered, upon written or oral request, a copy of any or all of the information incorporated by reference in this prospectus supplement, other than exhibits to those documents, unless the exhibits are specifically incorporated by reference in those documents. You should direct requests for documents to: K Wave Media Ltd., 121 South Church Street, George Town, Grand Cayman, KY1-1104, Cayman Islands, Telephone: 703-790-0717.</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a_013"/>
      <w:bookmarkEnd w:id="16"/>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(File No. 333-297167) under the Securities Act with respect to the Ordinary Shares offered by this prospectus supplement and the accompanying base prospectus. This prospectus supplement does not contain all of the information set forth in the registration statement and the exhibits to the registration statement. For further information about us and our Ordinary Shares, you should refer to the registration statement and the exhibits filed as part of the registration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As a foreign private issuer, we are not required to file annual, quarterly, and current reports and proxy statements under the Exchange Act as domestic registrants. However, we file with the SEC within the time limits applicable to foreign private issuers an Annual Report on Form 20-F containing financial statements audited by an independent registered public accounting firm. We also furnish Reports on Form 6-K to the SEC containing unaudited financial information and other material information as required.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that contains reports, proxy and information statements, and other information regarding registrants that file electronically with the SEC. The address of the SEC’s Internet site is http://www.sec.gov.</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www.kwavemedia.com. Information contained on our website is not incorporated by reference into this prospectus supplement or the accompanying base prospectus, and you should not consider information contained on our website to be part of this prospectus supplement or the accompanying base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$250,000,000</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Ordinary Shares</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Preferred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Warrants</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Rights</w:t>
      </w:r>
    </w:p>
    <w:p>
      <w:pPr>
        <w:pStyle w:val="TextBody"/>
        <w:bidi w:val="0"/>
        <w:spacing w:before="0" w:after="0"/>
        <w:jc w:val="center"/>
        <w:rPr>
          <w:rFonts w:ascii="Times New Roman;Times;Serif" w:hAnsi="Times New Roman;Times;Serif"/>
          <w:b/>
          <w:i w:val="false"/>
          <w:caps w:val="false"/>
          <w:smallCaps w:val="false"/>
          <w:spacing w:val="-6"/>
          <w:sz w:val="20"/>
        </w:rPr>
      </w:pPr>
      <w:r>
        <w:rPr>
          <w:rFonts w:ascii="Times New Roman;Times;Serif" w:hAnsi="Times New Roman;Times;Serif"/>
          <w:b/>
          <w:i w:val="false"/>
          <w:caps w:val="false"/>
          <w:smallCaps w:val="false"/>
          <w:spacing w:val="-6"/>
          <w:sz w:val="20"/>
        </w:rPr>
        <w:t>Units</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Wave Media Ltd. (“we,” “us,” “our,” “K Wave” or the “Company”) may offer and sell up to $250,000,000 in the aggregate of our ordinary shares, par value $0.0001 per share (“Ordinary Shares”), preferred shares, par value $0.0001 per share (“preferred shares”), debt securities, warrants to subscribe for Ordinary Shares, rights to subscribe for Ordinary Shares and units consisting of any combination of the other types of securities offered under this prospectus from time to time in one or more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or our public float, remains below $75 million. As of the date of this prospectus, our public float was below $75 million. During the 12 calendar months prior to and including the date of this prospectus, we have not offered or sold any securities pursuant to General Instruction I.B.5 of Form F-3.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This prospectus may not be used to sell our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add, update or change the information contained in this prospectus from time to time by incorporating by reference any document or filing a prospectus supplement, as required. You should read this entire prospectus, together with the documents we incorporate by reference, and any applicable prospectus supplement carefully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We may offer and sell the securities described in this prospectus and any prospectus supplement to or through one or more underwriters, dealers, agents or other third parties, or directly to purchasers, or through a combination of these methods. If any third parties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w:t>
      </w:r>
      <w:hyperlink w:anchor="b_001">
        <w:r>
          <w:rPr>
            <w:rStyle w:val="InternetLink"/>
            <w:rFonts w:ascii="Times New Roman;Times;Serif" w:hAnsi="Times New Roman;Times;Serif"/>
            <w:b w:val="false"/>
            <w:i/>
            <w:caps w:val="false"/>
            <w:smallCaps w:val="false"/>
            <w:sz w:val="20"/>
          </w:rPr>
          <w:t>About this Prospectus</w:t>
        </w:r>
      </w:hyperlink>
      <w:r>
        <w:rPr>
          <w:rFonts w:ascii="Times New Roman;Times;Serif" w:hAnsi="Times New Roman;Times;Serif"/>
          <w:b w:val="false"/>
          <w:i w:val="false"/>
          <w:caps w:val="false"/>
          <w:smallCaps w:val="false"/>
          <w:sz w:val="20"/>
        </w:rPr>
        <w:t>” and “</w:t>
      </w:r>
      <w:hyperlink w:anchor="b_013">
        <w:r>
          <w:rPr>
            <w:rStyle w:val="InternetLink"/>
            <w:rFonts w:ascii="Times New Roman;Times;Serif" w:hAnsi="Times New Roman;Times;Serif"/>
            <w:b w:val="false"/>
            <w:i/>
            <w:caps w:val="false"/>
            <w:smallCaps w:val="false"/>
            <w:sz w:val="20"/>
          </w:rPr>
          <w:t>Plan of Distribution</w:t>
        </w:r>
      </w:hyperlink>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our public warrants are traded on the Nasdaq Stock Market LLC (“Nasdaq”) under the symbols “KWM” and “KWMWW”, respectively. On June 29, 2026, the closing price of our Ordinary Shares and our public warrants on Nasdaq were $0.1640 per share and $0.0169 per public warrant,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the U.S. federal securities laws and, as such, may elect to comply with certain reduced public company disclosure and reporting requirements.</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THE “RISK FACTORS” ON PAGE 14 OF THIS PROSPECTUS AND ANY SIMILAR SECTION CONTAINED IN THE APPLICABLE PROSPECTUS SUPPLEMENT CONCERNING FACTORS YOU SHOULD CONSIDER BEFORE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9,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890"/>
        <w:gridCol w:w="60"/>
        <w:gridCol w:w="245"/>
      </w:tblGrid>
      <w:tr>
        <w:trPr/>
        <w:tc>
          <w:tcPr>
            <w:tcW w:w="6890" w:type="dxa"/>
            <w:tcBorders/>
            <w:shd w:fill="CCEEFF" w:val="clear"/>
            <w:vAlign w:val="center"/>
          </w:tcPr>
          <w:p>
            <w:pPr>
              <w:pStyle w:val="TableContents"/>
              <w:bidi w:val="0"/>
              <w:spacing w:before="0" w:after="283"/>
              <w:ind w:left="0" w:right="0" w:hanging="180"/>
              <w:jc w:val="left"/>
              <w:rPr/>
            </w:pPr>
            <w:hyperlink w:anchor="b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FFFFFF" w:val="clear"/>
            <w:vAlign w:val="center"/>
          </w:tcPr>
          <w:p>
            <w:pPr>
              <w:pStyle w:val="TableContents"/>
              <w:bidi w:val="0"/>
              <w:spacing w:before="0" w:after="283"/>
              <w:jc w:val="left"/>
              <w:rPr/>
            </w:pPr>
            <w:hyperlink w:anchor="b_002">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CCEEFF" w:val="clear"/>
            <w:vAlign w:val="center"/>
          </w:tcPr>
          <w:p>
            <w:pPr>
              <w:pStyle w:val="TableContents"/>
              <w:bidi w:val="0"/>
              <w:spacing w:before="0" w:after="283"/>
              <w:jc w:val="left"/>
              <w:rPr/>
            </w:pPr>
            <w:hyperlink w:anchor="b_003">
              <w:r>
                <w:rPr>
                  <w:rStyle w:val="InternetLink"/>
                  <w:rFonts w:ascii="Times New Roman;Times;Serif" w:hAnsi="Times New Roman;Times;Serif"/>
                  <w:b w:val="false"/>
                  <w:i w:val="false"/>
                  <w:caps w:val="false"/>
                  <w:smallCaps w:val="false"/>
                  <w:sz w:val="20"/>
                </w:rPr>
                <w:t>OUR COMPANY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90" w:type="dxa"/>
            <w:tcBorders/>
            <w:shd w:fill="FFFFFF" w:val="clear"/>
            <w:vAlign w:val="center"/>
          </w:tcPr>
          <w:p>
            <w:pPr>
              <w:pStyle w:val="TableContents"/>
              <w:bidi w:val="0"/>
              <w:spacing w:before="0" w:after="283"/>
              <w:jc w:val="left"/>
              <w:rPr/>
            </w:pPr>
            <w:hyperlink w:anchor="b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90" w:type="dxa"/>
            <w:tcBorders/>
            <w:shd w:fill="CCEEFF" w:val="clear"/>
            <w:vAlign w:val="center"/>
          </w:tcPr>
          <w:p>
            <w:pPr>
              <w:pStyle w:val="TableContents"/>
              <w:bidi w:val="0"/>
              <w:spacing w:before="0" w:after="283"/>
              <w:jc w:val="left"/>
              <w:rPr/>
            </w:pPr>
            <w:hyperlink w:anchor="b_005">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90" w:type="dxa"/>
            <w:tcBorders/>
            <w:shd w:fill="FFFFFF" w:val="clear"/>
            <w:vAlign w:val="center"/>
          </w:tcPr>
          <w:p>
            <w:pPr>
              <w:pStyle w:val="TableContents"/>
              <w:bidi w:val="0"/>
              <w:spacing w:before="0" w:after="283"/>
              <w:jc w:val="left"/>
              <w:rPr/>
            </w:pPr>
            <w:hyperlink w:anchor="b_006">
              <w:r>
                <w:rPr>
                  <w:rStyle w:val="InternetLink"/>
                  <w:rFonts w:ascii="Times New Roman;Times;Serif" w:hAnsi="Times New Roman;Times;Serif"/>
                  <w:b w:val="false"/>
                  <w:i w:val="false"/>
                  <w:caps w:val="false"/>
                  <w:smallCaps w:val="false"/>
                  <w:sz w:val="20"/>
                </w:rPr>
                <w:t>DESCRIPTION OF SHARE CAPITAL AND ARTICLES OF ASSOCIATION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90" w:type="dxa"/>
            <w:tcBorders/>
            <w:shd w:fill="CCEEFF" w:val="clear"/>
            <w:vAlign w:val="center"/>
          </w:tcPr>
          <w:p>
            <w:pPr>
              <w:pStyle w:val="TableContents"/>
              <w:bidi w:val="0"/>
              <w:spacing w:before="0" w:after="283"/>
              <w:jc w:val="left"/>
              <w:rPr/>
            </w:pPr>
            <w:hyperlink w:anchor="b_007">
              <w:r>
                <w:rPr>
                  <w:rStyle w:val="InternetLink"/>
                  <w:rFonts w:ascii="Times New Roman;Times;Serif" w:hAnsi="Times New Roman;Times;Serif"/>
                  <w:b w:val="false"/>
                  <w:i w:val="false"/>
                  <w:caps w:val="false"/>
                  <w:smallCaps w:val="false"/>
                  <w:sz w:val="20"/>
                </w:rPr>
                <w:t>DESCRIPTION OF PREFERRED SHARES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90" w:type="dxa"/>
            <w:tcBorders/>
            <w:shd w:fill="FFFFFF" w:val="clear"/>
            <w:vAlign w:val="center"/>
          </w:tcPr>
          <w:p>
            <w:pPr>
              <w:pStyle w:val="TableContents"/>
              <w:bidi w:val="0"/>
              <w:spacing w:before="0" w:after="283"/>
              <w:jc w:val="left"/>
              <w:rPr/>
            </w:pPr>
            <w:hyperlink w:anchor="b_008">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90" w:type="dxa"/>
            <w:tcBorders/>
            <w:shd w:fill="CCEEFF" w:val="clear"/>
            <w:vAlign w:val="center"/>
          </w:tcPr>
          <w:p>
            <w:pPr>
              <w:pStyle w:val="TableContents"/>
              <w:bidi w:val="0"/>
              <w:spacing w:before="0" w:after="283"/>
              <w:jc w:val="left"/>
              <w:rPr/>
            </w:pPr>
            <w:hyperlink w:anchor="b_009">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890" w:type="dxa"/>
            <w:tcBorders/>
            <w:shd w:fill="FFFFFF" w:val="clear"/>
            <w:vAlign w:val="center"/>
          </w:tcPr>
          <w:p>
            <w:pPr>
              <w:pStyle w:val="TableContents"/>
              <w:bidi w:val="0"/>
              <w:spacing w:before="0" w:after="283"/>
              <w:jc w:val="left"/>
              <w:rPr/>
            </w:pPr>
            <w:hyperlink w:anchor="b_010">
              <w:r>
                <w:rPr>
                  <w:rStyle w:val="InternetLink"/>
                  <w:rFonts w:ascii="Times New Roman;Times;Serif" w:hAnsi="Times New Roman;Times;Serif"/>
                  <w:b w:val="false"/>
                  <w:i w:val="false"/>
                  <w:caps w:val="false"/>
                  <w:smallCaps w:val="false"/>
                  <w:sz w:val="20"/>
                </w:rPr>
                <w:t>DESCRIPTION OF RIGHTS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6890" w:type="dxa"/>
            <w:tcBorders/>
            <w:shd w:fill="CCEEFF" w:val="clear"/>
            <w:vAlign w:val="center"/>
          </w:tcPr>
          <w:p>
            <w:pPr>
              <w:pStyle w:val="TableContents"/>
              <w:bidi w:val="0"/>
              <w:spacing w:before="0" w:after="283"/>
              <w:jc w:val="left"/>
              <w:rPr/>
            </w:pPr>
            <w:hyperlink w:anchor="b_011">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6890" w:type="dxa"/>
            <w:tcBorders/>
            <w:shd w:fill="FFFFFF" w:val="clear"/>
            <w:vAlign w:val="center"/>
          </w:tcPr>
          <w:p>
            <w:pPr>
              <w:pStyle w:val="TableContents"/>
              <w:bidi w:val="0"/>
              <w:spacing w:before="0" w:after="283"/>
              <w:jc w:val="left"/>
              <w:rPr/>
            </w:pPr>
            <w:hyperlink w:anchor="b_012">
              <w:r>
                <w:rPr>
                  <w:rStyle w:val="InternetLink"/>
                  <w:rFonts w:ascii="Times New Roman;Times;Serif" w:hAnsi="Times New Roman;Times;Serif"/>
                  <w:b w:val="false"/>
                  <w:i w:val="false"/>
                  <w:caps w:val="false"/>
                  <w:smallCaps w:val="false"/>
                  <w:sz w:val="20"/>
                </w:rPr>
                <w:t>TAXATION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890" w:type="dxa"/>
            <w:tcBorders/>
            <w:shd w:fill="CCEEFF" w:val="clear"/>
            <w:vAlign w:val="center"/>
          </w:tcPr>
          <w:p>
            <w:pPr>
              <w:pStyle w:val="TableContents"/>
              <w:bidi w:val="0"/>
              <w:spacing w:before="0" w:after="283"/>
              <w:jc w:val="left"/>
              <w:rPr/>
            </w:pPr>
            <w:hyperlink w:anchor="b_013">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6890" w:type="dxa"/>
            <w:tcBorders/>
            <w:shd w:fill="FFFFFF" w:val="clear"/>
            <w:vAlign w:val="center"/>
          </w:tcPr>
          <w:p>
            <w:pPr>
              <w:pStyle w:val="TableContents"/>
              <w:bidi w:val="0"/>
              <w:spacing w:before="0" w:after="283"/>
              <w:jc w:val="left"/>
              <w:rPr/>
            </w:pPr>
            <w:hyperlink w:anchor="b_014">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6890" w:type="dxa"/>
            <w:tcBorders/>
            <w:shd w:fill="CCEEFF" w:val="clear"/>
            <w:vAlign w:val="center"/>
          </w:tcPr>
          <w:p>
            <w:pPr>
              <w:pStyle w:val="TableContents"/>
              <w:bidi w:val="0"/>
              <w:spacing w:before="0" w:after="283"/>
              <w:jc w:val="left"/>
              <w:rPr/>
            </w:pPr>
            <w:hyperlink w:anchor="b_015">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6890" w:type="dxa"/>
            <w:tcBorders/>
            <w:shd w:fill="FFFFFF" w:val="clear"/>
            <w:vAlign w:val="center"/>
          </w:tcPr>
          <w:p>
            <w:pPr>
              <w:pStyle w:val="TableContents"/>
              <w:bidi w:val="0"/>
              <w:spacing w:before="0" w:after="283"/>
              <w:jc w:val="left"/>
              <w:rPr/>
            </w:pPr>
            <w:hyperlink w:anchor="b_016">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890" w:type="dxa"/>
            <w:tcBorders/>
            <w:shd w:fill="CCEEFF" w:val="clear"/>
            <w:vAlign w:val="center"/>
          </w:tcPr>
          <w:p>
            <w:pPr>
              <w:pStyle w:val="TableContents"/>
              <w:bidi w:val="0"/>
              <w:spacing w:before="0" w:after="283"/>
              <w:jc w:val="left"/>
              <w:rPr/>
            </w:pPr>
            <w:hyperlink w:anchor="b_017">
              <w:r>
                <w:rPr>
                  <w:rStyle w:val="InternetLink"/>
                  <w:rFonts w:ascii="Times New Roman;Times;Serif" w:hAnsi="Times New Roman;Times;Serif"/>
                  <w:b w:val="false"/>
                  <w:i w:val="false"/>
                  <w:caps w:val="false"/>
                  <w:smallCaps w:val="false"/>
                  <w:sz w:val="20"/>
                </w:rPr>
                <w:t>EXPENSES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890" w:type="dxa"/>
            <w:tcBorders/>
            <w:shd w:fill="FFFFFF" w:val="clear"/>
            <w:vAlign w:val="center"/>
          </w:tcPr>
          <w:p>
            <w:pPr>
              <w:pStyle w:val="TableContents"/>
              <w:bidi w:val="0"/>
              <w:spacing w:before="0" w:after="283"/>
              <w:jc w:val="left"/>
              <w:rPr/>
            </w:pPr>
            <w:hyperlink w:anchor="b_018">
              <w:r>
                <w:rPr>
                  <w:rStyle w:val="InternetLink"/>
                  <w:rFonts w:ascii="Times New Roman;Times;Serif" w:hAnsi="Times New Roman;Times;Serif"/>
                  <w:b w:val="false"/>
                  <w:i w:val="false"/>
                  <w:caps w:val="false"/>
                  <w:smallCaps w:val="false"/>
                  <w:sz w:val="20"/>
                </w:rPr>
                <w:t>INCORPORATION OF CERTAIN INFORMATION BY REFERENCE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890" w:type="dxa"/>
            <w:tcBorders/>
            <w:shd w:fill="CCEEFF" w:val="clear"/>
            <w:vAlign w:val="center"/>
          </w:tcPr>
          <w:p>
            <w:pPr>
              <w:pStyle w:val="TableContents"/>
              <w:bidi w:val="0"/>
              <w:spacing w:before="0" w:after="283"/>
              <w:jc w:val="left"/>
              <w:rPr/>
            </w:pPr>
            <w:hyperlink w:anchor="b_019">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b_001"/>
      <w:bookmarkEnd w:id="17"/>
      <w:r>
        <w:rPr>
          <w:rFonts w:ascii="Times New Roman;Times;Serif" w:hAnsi="Times New Roman;Times;Serif"/>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filed with the U.S. Securities and Exchange Commission, or the SEC, using a “shelf” registration process for the delayed offering and sale of securities pursuant to Rule 415 under the Securities Act of 1933, as amended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pPr>
      <w:r>
        <w:rPr>
          <w:rFonts w:ascii="Times New Roman;Times;Serif" w:hAnsi="Times New Roman;Times;Serif"/>
          <w:b w:val="false"/>
          <w:i w:val="false"/>
          <w:caps w:val="false"/>
          <w:smallCaps w:val="false"/>
          <w:sz w:val="20"/>
        </w:rPr>
        <w:t>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any document incorporated by reference herein or therein may also add, update or change information contained in this prospectus with respect to that offering. If there is any inconsistency between the information contained in or incorporated by reference into this prospectus and the applicable prospectus supplement, you should rely on the prospectus supplement. This prospectus does not contain all of the information provided in the registration statement that we filed with the SEC. Before purchasing any securities, you should carefully read both this prospectus and the applicable prospectus supplement (and any applicable free writing prospectuses), together with the additional information described under the headings “</w:t>
      </w:r>
      <w:hyperlink w:anchor="b_019">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val="false"/>
          <w:caps w:val="false"/>
          <w:smallCaps w:val="false"/>
          <w:sz w:val="20"/>
        </w:rPr>
        <w:t>” and “</w:t>
      </w:r>
      <w:hyperlink w:anchor="b_018">
        <w:r>
          <w:rPr>
            <w:rStyle w:val="InternetLink"/>
            <w:rFonts w:ascii="Times New Roman;Times;Serif" w:hAnsi="Times New Roman;Times;Serif"/>
            <w:b w:val="false"/>
            <w:i/>
            <w:caps w:val="false"/>
            <w:smallCaps w:val="false"/>
            <w:sz w:val="20"/>
          </w:rPr>
          <w:t>Incorporation of Certain Information by Reference</w:t>
        </w:r>
      </w:hyperlink>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the information incorporated or deemed to be incorporated by reference in this prospectus and any free writing prospectus prepared by us or on our behalf. 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and/or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may include trademarks, service marks and trade names owned by us or other companies. All trademarks, service marks and trade names included or incorporated by reference into this prospectus are the property of their respective owners.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on, or that can be accessed through, our website does not constitute part of this prospectus, any applicable prospectus supplement or any related free writing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or the context otherwise requires, the terms “we,” “us,” “our,” “registrant,” “Company” and “K Wave” mean K Wave Media Ltd. and its subsidiaries. When we refer to “you,” we mean the potential holders of the applicable series of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the U.S. federal securities laws and, as such, may elect to comply with certain reduced public company disclosure and reporting requirements.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action is being taken in any jurisdiction outside the United States to permit a public offering of the securities or possession or distribution of this prospectus in that jurisdiction. Persons who come into possession of this prospectus in jurisdictions outside the United States are required to inform themselves about and to observe any restrictions as to an offering pursuant to and the distribution of this prospectus applicable to that jurisdiction.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b_002"/>
      <w:bookmarkEnd w:id="18"/>
      <w:r>
        <w:rPr>
          <w:rFonts w:ascii="Times New Roman;Times;Serif" w:hAnsi="Times New Roman;Times;Serif"/>
          <w:b/>
          <w:i w:val="false"/>
          <w:caps w:val="false"/>
          <w:smallCaps w:val="false"/>
          <w:sz w:val="20"/>
        </w:rPr>
        <w:t>CAUTIONARY STATEMENT REGARDING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information incorporated by reference) contains forward-looking statements within the meaning of Section 27A of the Securities Act and Section 21E of the Securities Exchange Act of 1934, as amended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“goals,” “targets,” “objectives,” “will,” “projects,” “believe,” “may,” “estimate,” “continue,” “anticipate,” “intend,” “should,” “plan,” “expect,” “predict,” “potential”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70"/>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p>
      <w:pPr>
        <w:pStyle w:val="TextBody"/>
        <w:bidi w:val="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new product and service offerings;</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revenues, costs or expenditures;</w:t>
            </w:r>
          </w:p>
        </w:tc>
      </w:tr>
    </w:tbl>
    <w:p>
      <w:pPr>
        <w:pStyle w:val="TextBody"/>
        <w:bidi w:val="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demand for and market acceptance of our products and services;</w:t>
            </w:r>
          </w:p>
        </w:tc>
      </w:tr>
    </w:tbl>
    <w:p>
      <w:pPr>
        <w:pStyle w:val="TextBody"/>
        <w:bidi w:val="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growth of our customers, including consolidated account customers;</w:t>
            </w:r>
          </w:p>
        </w:tc>
      </w:tr>
    </w:tbl>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bl>
    <w:p>
      <w:pPr>
        <w:pStyle w:val="TextBody"/>
        <w:bidi w:val="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and regulations relating to our industry;</w:t>
            </w:r>
          </w:p>
        </w:tc>
      </w:tr>
    </w:tbl>
    <w:p>
      <w:pPr>
        <w:pStyle w:val="TextBody"/>
        <w:bidi w:val="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may affect our financial condition, liquidity and results of operations;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the section entitled “Risk Factors” in this prospectus and in the documents incorporated by reference into this prospectus.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important factors, in addition to the factors described above and in other sections of this prospectus,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goals, targets, expectations and estimates included or incorporated by reference in this prospectus were prepared by the Company’s management team based on information available at the time such information was developed and reflects numerous assumptions that are subject to change, including those related to general business, economic, market, and financial conditions, as well as other factors that are difficult to predict and many of which are beyond the Company’s control. The Company believes the assumptions underlying such goals, targets, expectations and estimates were reasonable at the time such information was prepared. However, important factors may affect actual results and cause the results reflected in such goals, targets, expectations and estimates not to be achieved including, among other things, risks and uncertainties relating to the Company’s business, industry performance, the regulatory environment, and general business and economic conditions, as discussed in the immediately preceding paragraph.</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forward-looking statements made in this prospectus relate only to events or information as of the date on which the statements are made in this prospectus. Except as required by law, we undertake no obligation to update or revise publicly any estimate or forward-looking statements, whether as a result of new information, future events or otherwise, after the date on which the statements are made or to reflect the occurrence of unanticipated events. We caution you against placing undue reliance on forward-looking statements, which reflect current beliefs and are based on information currently available as of the date a forward-looking statement is made. In evaluating our forward-looking statements, you should specifically consider the risks and uncertainties described in the section entitled “Risk Factors” in this prospectus and in the documents incorporated by reference into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b_003"/>
      <w:bookmarkEnd w:id="19"/>
      <w:r>
        <w:rPr>
          <w:rFonts w:ascii="Times New Roman;Times;Serif" w:hAnsi="Times New Roman;Times;Serif"/>
          <w:b/>
          <w:i w:val="false"/>
          <w:caps w:val="false"/>
          <w:smallCaps w:val="false"/>
          <w:sz w:val="20"/>
        </w:rPr>
        <w:t>OUR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WAVE’S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Wave was a wholly owned subsidiary of Global Star Acquisition Inc. (“Global Star”), and was incorporated on June 22, 2023 as a Cayman Islands exempted company. K Wave was incorporated for the purpose of becoming the ultimate parent company following the consummation of its Business Combination (as defined below). Prior to the consummation of the Business Combination, K Wave maintained one direct, wholly owned subsidiary, GLST Merger Sub Inc., a Delaware corporation (“Merger Sub”). Merger Sub was incorporated to facilitate the consummation of the Business Combination. As of the date of the prospectus, Merger Sub has been merged with and into K Enter Holdings Inc., a Delaware corporation and a wholly owned subsidiary of K Wave (“K Enter”), in connection with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Wave is engaged in the “IP content business,” which refers to a business that focuses on creating, investing in, managing, licensing, and monetizing intellectual property (“IP”) content such as TV shows, movies, dramas and music. At the heart of K Wave’s IP content business is the creation of original content or the acquisition of rights to existing content from creators, artists, or other sources, such as films and TV shows that are valuable IP. In the case of Play Company Co., Ltd., which is a subsidiary of K Wave and is in the content merchandising business (the “Play,” “Play Company”), it involves the merchandise sales of IP content based on popular musicians, TV shows and movies. K Wave regards its IP content, including copyrights, registered trademark and pending trademarks, service marks, domain names, trade secrets, proprietary technologies and similar IP, as critical to its success. K Wave relies on trademark law, trade secret protection and confidentiality and license agreements with employees and others to protect K Wave’s proprietary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existing IP content operations, K Wave has commenced a strategic transformation toward the AI infrastructure sector. The Company is pursuing opportunities to acquire, develop, own and operate AI-focused digital infrastructure assets, including data centers, GPU computing infrastructure, AI cloud and compute platforms, and related technology assets. The Company’s strategy includes investing in AI-ready data center facilities, GPU clusters, power and cooling infrastructure, and strategic partnerships that support the growing demand for artificial intelligence computing capacity. In July 2026, the Company expects shareholders to consider a proposed disposition of Play Company. Additionally, in July 2026, the Company expects to dispose of its 95% ownership interest in Solaire Partners LLC (“Solaire”). If our shareholders approve the disposition of Play Company and the dispositions of Play and Solaire are consummated, the dispositions would significantly reduce the Company’s exposure to the content merchandising sector and facilitate the Company’s transition toward AI infrastructure-focused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the Six Korean Entities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Enter’s acquisition of Play Company, which occurred on January 2, 2025, and Solaire Partners LLC, Apeitda Co., Ltd., The LAMP Co., Ltd., Bidangil Pictures Co., Ltd. and Studio Anseilen Co., Ltd., which occurred subsequent to January 2, 2025, was a closing condition to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K Wave consummated the previously announced business combination pursuant to the Merger Agreement, dated June 15, 2023, by and between Global Star and K Enter (as amended, the “Merger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transactions occurred pursuant to the terms of the Merger Agreement (collectively, the “Business Combination”):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Global Star was reincorporated to Cayman Islands by merging with and into K Wave, with K Wave remaining as the surviving publicly traded entity (the “Reincorporation Merger”). In connection with the closing of the Reincorporation Merger, (i) each issued and outstanding share of Global Star’s Class A common stock, par value $0.0001 per share (the “Global Star Common Stock”), other than Global Star Common Stock owned by Global Star as treasury shares or any Global Star Common Stock owned by any direct or indirect wholly owned subsidiary of Global Star, was converted into one Ordinary Share of K Wave, (ii) each issued and outstanding warrant of Global Star was converted automatically into a warrant to purchase one Ordinary Share of K Wave at a price of $11.50 per whole share (which are referred to herein as the “Warrants” or the “Public Warrants”), (iii) each issued and outstanding right of Global Star was converted automatically into a right to receive one-tenth (1/10) of one Ordinary Share of K Wave at the closing of a business combination (the “K Wave Right”), and (iv) each issued and outstanding unit of Global Star was separated and converted automatically into one Ordinary Share of K Wave, one Public Warrant, and one K Wave Right. At the closing of the Reincorporation Merger, all Global Star Common Stock and all Global Star warrants, rights, units and other securities of Global Star ceased to be outstanding and were automatically canceled and retired and ceased to exist;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Merger Sub merged with and into K Enter, resulting in K Enter being a wholly owned subsidiary of K Wave (the “Acquisition Merger”). In connection with the closing of the Acquisition Merger, (i) each share of K Enter capital stock that was owned by Global Star, Merger Sub and K Enter (as treasury stock or otherwise), was automatically cancelled and retired without any conversion, (ii) each share of K Enter preferred stock issued and outstanding was deemed converted into shares of K Enter common stock, (iii) each share of K Enter common stock issued and outstanding, including shares of K Enter common stock deemed outstanding as a result of the mandatory conversion of K Enter preferred stock, was converted into the right to receive a number of Ordinary Shares of K Wave equal to a conversion ratio of 312.1:1, and (iv) each share of Merger Sub common stock issued and outstanding was converted into and became one newly issued, fully paid and nonassessable share of K Enter common stock.</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Standby Equity Purchase Agreement (the “SEPA”)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entered into a Standby Equity Purchase Agreement (the “SEPA”) with the Bitcoin Strategic Reserve KWM LLC (“Bitcoin Strategic”), pursuant to which the Company has the right to sell to Bitcoin Strategic up to $500 million of its Ordinary Shares, subject to certain limitations and conditions set forth in the SEPA, from time to time during the term of the SEPA. Sales of Ordinary Shares to Bitcoin Strategic under the SEPA, and the timing of any such sales, are at the Company’s option, and the Company is under no obligation to sell any Ordinary Shares to Bitcoin Strategic under the SEPA.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satisfaction of the conditions to Bitcoin Strategic’s purchase obligation set forth in the SEPA, the Company will have the right, but not the obligation, from time to time at its discretion until the SEPA is terminated to direct Bitcoin Strategic to purchase a specified number of Ordinary Shares (each, a “Bitcoin Strategic Advance”) by delivering written notice to Bitcoin Strategic. While there is no mandatory minimum amount for any Bitcoin Strategic Advance, no Bitcoin Strategic Advance may be for the sale of an amount of shares greater than the average of the daily traded amount of Ordinary Shares during the five consecutive trading days immediately preceding a notice of a Bitcoin Strategic Advance. Additionally, subject to certain exceptions set forth in the SEPA, the Company may not effect any sales under the SEPA to the extent that after giving effect to such sales the aggregate number of Ordinary Shares issued under the SEPA would exceed 19.99% of the aggregate amount of Ordinary Shares issued in the capital of the Company immediately prior to the date of the SEPA.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control the timing and amount of any sales of Ordinary Shares to Bitcoin Strategic. Actual sales of Ordinary Shares to Bitcoin Strategic under the SEPA will depend on a variety of factors to be determined by the Company from time to time, which may include, among other things, market conditions, the trading price of the shares and determinations by the Company as to the appropriate sources of funding for our business and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earlier of (i) the 36-month anniversary of the date of the SEPA or (ii) the date on which Bitcoin Strategic shall have made payment of Bitcoin Strategic Advances pursuant to the SEPA for Ordinary Shares equal to $500 million. The Company has the right to terminate the SEPA at no cost or penalty upon three business day’s prior written notice to Bitcoin Strategic, provided that (i) there are no outstanding Bitcoin Strategic sale notices for which Ordinary Shares need to be issued and (ii) the Company has paid all amounts owed to Bitcoin Strategic pursuant to the SEPA. The Company and Bitcoin Strategic may also agree to terminate the SEPA by mutual written consent.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under the SEPA to the Company will depend on the frequency and prices at which the Company sells Ordinary Shares to Bitcoin Strategic. The Company expects that any proceeds received from such sales to Bitcoin Strategic will be used primarily for working capital and general corporate purposes and for purposes of implementing its treasury strategy (described in greater detail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Drew is the Managing Member of Bitcoin Strategic. Mr. Drew is an Initial Stockholder of the Company and a member of the Company’s Advisory Board. In addition, Mr. Drew served as a director of Global Star and is a Managing Partner of Global Fund LLC, along with Ted Kim, the Company’s Co-Founder, Chief Executive Officer and a member of the Company’s board of directors (the “Board” or the “Board of Directors”). The transactions consummated in connection with the SEPA and all negotiations relating thereto were conducted on an “arm’s length” basis.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Anson Funds Securities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2025, we entered into a Securities Purchase Agreement, by and among the Company, Anson Investments Master Fund, LP and Anson East Master Fund LP (together, the “Anson Funds”), and Anson Investments Master Fund L.P., as collateral agent for the Anson Funds (the “SPA”).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subject to the terms and conditions of the SPA, the Company agreed to issue and sell to the Anson Funds, and the Anson Funds agreed to purchase from the Company, severally and not jointly, (i) at the Initial Closing (as described below), for an aggregate amount of $15,000,000, Senior Secured Convertible Notes representing an aggregate principal amount of $15,789,474 (the “Initial Notes”) and warrants (the “Initial Warrants”) to purchase an aggregate of 4,312,180 Ordinary Shares. The Initial Notes are convertible into an aggregate of 4,449,761 Ordinary Shares (assuming interest is payable on such notes at a rate of 12% commencing on the date of issuance of the applicable SPA Note and ending on the date that is 2 years thereafter).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subject to the terms and conditions of the SPA, the Company also agreed to issue and sell to the Anson Funds, and the Anson Funds agreed to purchase from the Company, severally and not jointly, at (i) the Second Closing (as described below), for an aggregate amount of up to $10,000,000, Senior Secured Convertible Notes representing an aggregate principal amount of $10,526,316 (the “Second Notes”) and warrants (the “Second Warrants”) to purchase an aggregate of 2,874,786 Ordinary Shares; and (ii) at the Additional Closing (as described below), if any, for an aggregate amount of up to $475,000,000, Senior Secured Convertible Notes representing an aggregate principal amount of $500,000,000 (the “Additional Notes”) and warrants (the “Additional Warrants”) to purchase an aggregate of 136,552,327 Ordinary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Senior Secured Convertible Notes issued and issuable under the SPA (collectively, the “SPA Notes”) are convertible into Ordinary Shares at any time by the Anson Funds at a conversion price of $4.40 per Ordinary Share (subject to customary adjustment provisions in the SPA Notes). Additionally, the Senior Secured Convertible Notes issued and issuable under the SPA provide that Anson may, at any time, convert (each, an “Alternate Conversion”) all, or any part of, the outstanding principal and accrued and unpaid interest under such notes into Ordinary Shares at a conversion price equal to 92% of the lowest daily volume weighted average price of the Ordinary Shares for such date (or the nearest preceding date) on the trading market on which the Ordinary Shares are then listed or quoted for trading (the “Trading Market”) in the ten trading days prior to the applicable Alternate Conversion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Warrants to Purchase Ordinary Shares issued and issuable under the SPA (collectively, the “SPA Warrants”) are exercisable into Ordinary Shares at any time by the Anson Funds at an exercise price of $3.6616 per Ordinary Share (subject to customary adjustment provisions in the SPA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2025, the “Initial Closing” under the SPA was consummated by the parties thereto, pursuant to which the Company sold to the Anson Funds, for an aggregate amount of $15,000,000, the Initial Notes and the Initial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SPA, the consummation of the “Second Closing” requires, in addition to customary conditions to closing, that (i) no event of default under the SPA Notes shall have occurred or be continuing; (ii) the closing price of the Company’s Ordinary Shares on the Trading Market equals or exceeds $3.00 per share on each trading day during the ten consecutive trading days immediately prior to the date of the Second Closing (the “Second Closing Date”); (iii) the daily dollar trading volume for the Ordinary Shares on the Trading Market equals or exceeds $2,000,000 per trading day on each trading day during the ten consecutive trading days immediately prior to the Second Closing Date; and (iv) a registration statement with respect to the Initial Closing and the Second Closing shall have been declared effective.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SPA, the consummation of any Additional Closing requires, in addition to customary conditions to closing, that no event of default under the SPA Notes shall have occurred or be continuing.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condition to the consummation of the Second Closing and any Additional Closing, the SPA requires that, from the date of the SPA to the date of the applicable closing, trading in the Company’s Ordinary Shares shall not have been suspended by the SEC or the Trading Market or limited or minimum prices established by Bloomberg L.P.,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Anson Funds, makes it impracticable or inadvisable to purchase the applicable SPA Notes and SPA Warrants at such closing.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 contains customary representations, warranties, conditions and indemnification obligations of the parties. The representations, warranties and covenants contained in such agreement were made only for purposes of such agreements and as of specific dates, were solely for the benefit of the parties to such agreements and may be subject to limitations agreed upon by the contracting parties.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received notices of partial conversion of the Initial Notes from the Anson Funds and issued an aggregate of 4,824,273 Ordinary Shares upon such conversion, including 3,857,634 shares to Anson Investments Master Fund LP and 966,639 shares to Anson East Master Fund LP.</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the Company entered into an amendment to the SPA. Pursuant to the amendment, the Company liquidated 88 Bitcoin it held in its treasury and repaid $6 million of the Initial Notes. Pursuant to the amendment to the SPA, the Company was permitted to use proceeds from future sales of additional securities under the SPA for investments in AI infrastructure assets, and all such assets will constitute Collateral under the Security Agreement (as defined below).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SPA Notes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 Notes are substantially identical and each SPA Note matures, and all principal and any accrued interest on such SPA Note will be payable, on the date that is twenty-four months following its issuance date. The SPA Notes will not bear interest unless an event of default occurs under the SPA Notes, in which event the SPA Notes will bear interest at a rate of 12% per annum (retroactively commencing the date of issuance of the applicable SPA Note), payable at maturity. Additionally, any overdue accrued and unpaid interest to be paid under the SPA Notes will incur a late fee at an interest rate equal to 12% per annum (commencing on the date the interest was payable).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SPA Notes are convertible into Ordinary Shares at any time by the Anson Funds at a conversion price of $4.40 per Ordinary Share (subject to customary adjustment provisions in the SPA Notes, including adjustments upon dividends by the Company of Ordinary Shares and upon any stock splits or share subdivisions effectuated by the Company). Each SPA Note also provides that, at any time after the issuance date of such SPA Note, the holder may, at its option, convert pursuant to an Alternate Conversion all or any part of the outstanding principal and accrued and unpaid interest under such SPA Note into Ordinary Shares at a conversion price equal to 92% of the lowest daily volume weighted average price of the Ordinary Shares for such date (or the nearest preceding date) on the Trading Market on which the Ordinary Shares are then listed or quoted in the ten trading days prior to the applicable Alternate Conversion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pursuant to the SPA Notes, the Company may not effect the conversion of any SPA Note, and an Anson Fund holding such SPA Note will not have the right to convert such SPA Note, to the extent that after giving effect to the conversion, the Anson Fund and its affiliates would beneficially own in excess of 4.99% of the number of Ordinary Shares outstanding immediately after giving effect to the conversion.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 Notes have customary event of default provisions. Under the SPA Notes, upon the occurrence or existence of any event of default, the outstanding principal amount, any accrued interest and any other amounts payable thereunder will be (or in certain instances, at the option of the holder thereof, may be) immediately accelerated.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 Notes contain certain redemption rights of the Anson Funds upon certain financing and change of control events involving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SPA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 Warrants are substantially identical. The SPA Warrants provide the Anson Funds the right to purchase, assuming all SPA Warrants are issued by the Company to the Anson Funds, an aggregate of 143,739,293 Ordinary Shares at an exercise price of $3.6616 (subject to customary adjustment provisions in the SPA Warrants, including adjustments upon dividends by the Company of Ordinary Shares and upon any stock splits or share subdivisions effectuated by the Company). Subject to certain exempted issuances, each SPA Warrant also provides that, if the Company, at any time while such SPA Warrant is outstanding, sells, enters into an agreement to sell, or grants any option to purchase, or sells or grants any right to reprice, or otherwise disposes of or issues any Ordinary Shares or any securities of the Company or its subsidiaries which would entitle the holder thereof to acquire at any time Ordinary Shares, at an effective price per share less than the exercise price of such SPA Warrant then in effect (such lower price, the “Base Share Price”), then simultaneously with the consummation (or, if earlier, the announcement) of each such issuance, the exercise price of such SPA Warrant will be reduced to equal the Base Share Price. Additionally, each SPA Warrant provides that the Company may at any time during the term of such SPA Warrant reduce the then current exercise price to any amount and for any period of time deemed appropriate by the Board of Directors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pursuant to the SPA Warrants, the Company may not exercise any SPA Warrant, and an Anson Fund holding such SPA Warrant will not have the right to exercise such SPA Warrant, to the extent that after giving effect to the exercise, the Anson Fund and its affiliates would beneficially own in excess of 4.99% of the number of Ordinary Shares outstanding immediately after giving effect to the exercise.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SPA Warrant will be immediately exercisable on the date of the SPA Warrants’ respective issuances. The SPA Warrants expire on the fifth anniversary of their respective issuance dates.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 Warrants may be exercised by an Anson Fund by paying the exercise price in cash or on a cashless basis. No fractional shares will be issued upon any exercise of any SPA Warrant. If, upon exercise of an SPA Warrant, a holder would be entitled to receive a fractional interest in an Ordinary Share, the Company will round up to the nearest whole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Security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SPA, on July 11, 2025, the Company and Anson Investments Master Fund, LP (in such capacity, the “Secured Party”), entered into a Security Agreement (the “Security Agreement”), pursuant to which the Company granted to the Secured Party a security interest in certain digital asset accounts (including all assets therein and proceeds therefrom, whenever held by the Company) which are jointly managed by the Company and the Anson Funds (the “Collateral”). Pursuant to the amendment to the SPA entered into on April 29, 2026, all AI infrastructure assets purchased by the Company will constitute Collateral under the Security Agreement. The Collateral secures all payment and other obligations (the “Secured Obligations”) of the Company under the SPA, the SPA Notes, the SPA Warrants and all other transaction documents entered into in connection with the SPA (collectively, the “SPA Transaction Documents”). Pursuant to the Security Agreement, if the Company defaults on any of the Secured Obligations, then the Secured Party will have the right, in addition to any rights of the Secured Party under applicable law and under the SPA and the other SPA Transaction Documents, to take exclusive control of the Collateral and sell, dispose or otherwise transfer the Collateral, and any payments, returns of capital and distributions made to the Company during such default will be paid to the Secured Party, in each case, until the Secured Obligations are paid in full. Pursuant to the Security Agreement, if the foregoing remedies are insufficient to repay the Secured Obligations, the Company will remain liable to pay such deficiency. The Security Agreement will terminate when the Secured Obligations are paid in full.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Rabbit Walk Share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 Share Purchase Agreement (the “Rabbit Walk Share Purchase Agreement”), by and among the Company, and the owners (collectively, the “Rabbit Walk Sellers”) of Rabbit Walk Inc., a company duly incorporated and existing under the laws of the Republic of Korea and engaged in the business of video and content media production (“Rabbit Walk”).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Rabbit Walk Share Purchase Agreement, the Rabbit Walk Sellers agreed to sell to the Company, and the Company agreed to purchase from the Rabbit Walk Sellers, an aggregate of 110,000 of the common shares (the “Rabbit Walk Shares”) of Rabbit Walk, which Rabbit Walk Shares represented 55% of the issued and outstanding common stock of Rabbit Walk as of the date of the Rabbit Walk Share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Company’s purchase from the Rabbit Walk Sellers of the Rabbit Walk Shares, the Company agreed to, at the closing of the transactions contemplated by the Rabbit Walk Share Purchase Agreement (the “Rabbit Walk Closing”), issue to the Rabbit Walk Sellers a number of Ordinary Shares (collectively, the “Rabbit Walk Consideration Shares”) having an aggregate value of South Korean Won (“KRW”) 9,075,000,000, calculated based on the average closing prices of the Ordinary Shares for the five consecutive business days ending on the day immediately preceding August 21, 2025 (or, USD $2.50 per Ordinary Share). On January 21, 2026, the Rabbit Walk Closing was consummated and, in consideration of the Rabbit Walk Shares, K Wave issued to the Rabbit Walk Sellers an aggregate of 2,633,753 Ordinary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Rabbit Walk Share Purchase Agreement provided that, in the event that Rabbit Walk’s Performance Based Consolidated Operating Profit for Rabbit Walk’s 2025 or 2026 fiscal year is equal to or exceeds the Purchase Agreement Threshold, then the Company will issue to the Rabbit Walk Sellers the Rabbit Walk Earnout Shares having an aggregate value of KRW 9,075,000,000, calculated based on a per Ordinary Share value of USD $2.50. For the 2025 fiscal year, Rabbit Walk’s Performance Based Consolidated Operating Profit met or exceeded the Purchase Agreement Threshold. As a result, in March 2026, the Company issued 2,633,753 Rabbit Walk Earnout Shares pursuant to the Rabbit Walk Share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Rabbit Walk Share Purchase Agreement provided that the Rabbit Walk Sellers are subject to certain lock-up provisions, pursuant to which each of the Rabbit Walk Sellers has agreed to not sell, transfer, pledge or otherwise dispose of (i) 50% of the Rabbit Walk Consideration Shares received by such Seller until the earlier of the date that is three months following the Closing and November 15, 2025; and (ii) 50% of the Rabbit Walk Consideration Shares received by such Rabbit Walk Seller until the date that is six months following the Rabbit Walk Closing.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Galaxy Digital Securities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Company entered into a Securities Purchase Agreement with Galaxy Digital LP (the “Galaxy Securities Purchase Agreement”). Galaxy Digital LP is an affiliate of Galaxy Digital Capital Management LP (“Galaxy Digital Capital Management”), which serves as an asset manager and strategic advisor of K Wave.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Galaxy Securities Purchase Agreement, on January 21, 2026, the Company issued and sold to Galaxy Digital LP (i) 400,000 Ordinary Shares for an aggregate purchase price of $1,000,000, and (ii) warrants to purchase 200,000 Ordinary Shares (the “Galaxy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Galaxy Warrants provide Galaxy Digital LP the right to purchase an aggregate of 200,000 Ordinary Shares at an exercise price of $2.75 per Ordinary Share (subject to customary adjustment provisions in the Warrants, including adjustments upon dividends by the Company of Ordinary Shares and upon any stock splits or share subdivisions effectuated by the Company) and are immediately exercisable. The Galaxy Warrants expire on the fifth anniversary of the date of the Galaxy Digital Securities Purchase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Galaxy Warrants, Galaxy Digital LP will not have the right to exercise the Galaxy Warrants, to the extent that after giving effect to the exercise, Galaxy Digital LP and certain of its affiliates would beneficially own in excess of 4.99% of the number of Ordinary Shares outstanding immediately after giving effect to the exercise.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Galaxy Warrants may be exercised by Galaxy Digital LP by paying the exercise price in cash or on a cashless basis.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From Nasdaq Regarding Minimum Bid Requirement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2026, the Company received a letter from the Listing Qualifications staff of Nasdaq notifying the Company that, based on the closing bid price of the Company for the period from November 20, 2025 to January 6, 2026, the Company no longer meets the continued listing requirement of Nasdaq, under Nasdaq Listing Rules 5550(a)(2), to maintain a minimum bid price of $1 per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5810(c)(3)(A), the Company has a compliance period of 180 calendar days, or until July 6, 2026 (the “Compliance Period”), to regain compliance with Nasdaq’s minimum bid price requirement. If at any time during the Compliance Period, the closing bid price per share of the Company’s ordinary shares is at least $1.00 for a minimum of ten consecutive business days, Nasdaq will provide the Company a written confirmation of compliance and this matter will be closed.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does not regain compliance in the Compliance Period, the Company may be eligible for an additional 180 calendar days to demonstrate compliance with the bid price requirement, provided that the Company meets the continued listing requirement for market value of publicly held shares and all other initial listing standards for The Nasdaq Capital Market, with the exception of the bid price requirement, and is able to provide written notice of its intention to cure the deficiency during the second compliance period, by effecting a reverse stock split, if necessary.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options to regain compliance, including by way of a reverse stock split which is the subject of shareholder approval at the 2026 Annual General Meeting of the Company scheduled for July 11, 2026, and intends to timely regain compliance with Nasdaq’s continued listing requirement. Although the Company will use all reasonable efforts to achieve compliance with Rule 5550(a)(2), there can be no assurance that the Company will be able to regain compliance with that rule or will otherwise be in compliance with other Nasdaq continued listing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Market Value of Publicly Held Shares Deficiency Letter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 received a letter from the Listing Qualifications staff of The Nasdaq Stock Market (“Nasdaq”) notifying the Company that, for the period from May 4, 2026 to June 15, 2026, the Company’s Ordinary Shares did not meet the minimum $15,000,000 Market Value of Publicly Held Shares (“MVPHS”) requirement for continued listing on Nasdaq pursuant to Nasdaq Listing Rules 5450(b)(2&amp;3)(C) (the “MVPHS Requirement”).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5810(c)(3)(D), the Company has a compliance period of 180 calendar days, or until December 14, 2026 (the “Compliance Period”), to regain compliance with the MVPHS Requirement. If at any time during the Compliance Period, the Company’s MVPHS closes at $15 million or more for a minimum of ten consecutive business days, Nasdaq will provide the Company a written confirmation of compliance and this matter will be closed.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does not regain compliance with the MVPHS Requirement during the Compliance Period, Nasdaq will provide written notification that the Company’s securities will be subject to delisting. In the event of such notification, the Nasdaq rules permit the Company an opportunity to appeal Nasdaq’s determination. Alternatively, the Company may be eligible to transfer the listing of its securities to the Nasdaq Capital Market (the “Capital Market”), provided that the Company then satisfies the requirements for continued listing on the Capital Market.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options to regain compliance and intends to timely regain compliance with the MVPHS Requirement and intends to submit to Nasdaq a comprehensive plan to regain compliance in June 2026. Although the Company will use all reasonable efforts to achieve compliance with the MVPHS Requirement, there can be no assurance that the Company will be able to regain compliance with the MVPHS Requirement or will otherwise be in compliance with other Nasdaq continued listing requirements.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Hansol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2025, Playverse Co. Ltd. (“Playverse”), a subsidiary of Play Company, entered into a Share Purchase Agreement (the “Hansol Purchase Agreement”) with Hansol Holdings Co., Ltd. (“Hansol Holdings”), Lee Mi-sung and Cho Hyun-seung (collectively, the “Hansol Sellers”), pursuant to which Playverse agreed to purchase from the Hansol Sellers and the Hansol Sellers agreed to sell to Playverse an aggregate of 5,864,088 shares common stock (the “Hansol Shares”) of Hansol Inticube Co., an AI language and software development company with core capabilities in AI contact center solutions, voice recognition, chatbots, smart solutions and platform technologies (“Hansol”).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Playverse consummated the purchase of the Hansol Shares pursuant to the terms and conditions of the Hansol Purchase Agreement. The Hansol Shares represent approximately 42.25% of the outstanding shares of common stock of Hansol.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Hansol Purchase Agreement, the aggregate purchase price for the Hansol Shares was KRW15,000,337,104. The Hansol Purchase Agreement contained customary representations, warranties and covenants by the parties and customary indemnification obligations of the parties.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Hansol Purchase Agreement, Hansol Holdings caused Hansol to convene an annual general meeting of Hansol’s shareholders for the purpose of electing individuals designated by the Company to serve as members of the Hansol board of directors, and such Company designees now hold a majority of the seats on the Hansol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announced that its Board of Directors had approved the disposition of Play Company to its previous owner. The proposed disposition is subject to shareholder approval at the Company’s 2026 annual general meeting of its stockholders, scheduled to occur on July 10, 2026. Hansol is an indirect subsidiary of the Company through Play Company. As such, if the disposition of Play Company is approved by the Company’s shareholders and the transaction is consummated, then Hansol will not longer be a subsidiary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HYBE Supply and Distribution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2026, Play Company entered into a Supply and Distribution Agreement (the “HYBE Supply and Distribution Agreement”) with HYBE Co., Ltd., a South Korean based entertainment company focusing on music production, artist management and technology-driven fan platforms (“HYBE”), pursuant to which HYBE granted to Play Company a worldwide priority right to purchase and distribute video publications and printed materials produced by HYBE for distribution by Play Company and relating to certain concerts of musical groups BTS, Seventeen, Tomorrow X Together and LE SSERAFIM (collectively, the “HYBE Products”).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HYBE Supply and Distribution Agreement, Play Company will purchase, distribute, and sell the HYBE Products at its own cost and risk through online and offline channels, including third-party distribution channels.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HYBE Supply and Distribution Agreement commenced on April 3, 2026 and will continue for one year, unless extended by mutual agreement of Play Company and HYBE. Either party may terminate the HYBE Supply and Distribution Agreement upon the other party’s insolvency or material breach of the HYBE Supply and Distribution Agreement which is not cured within ten business days of such material breach. The HYBE Supply and Distribution Agreement contains customary indemnification obligations of the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Partnership Agreement with IGIS Global Properties, LLC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entered into a Strategic Partnership Agreement with IGIS Global Properties, LLC (“IGIS Global”), a wholly owned subsidiary of IGIS Asset Management, Co., pursuant to which IGIS Global will (i) identify and evaluate investment opportunities in data centers and other AI infrastructure projects in the United States and overseas for a sole purpose of investing with the Company; (ii) identify and partner up with the best-in-class operators capable of developing data centers and AI infrastructure projects in the United States and/or overseas; and (iii) co-develop or co-invest in selected opportunities together with the Company. The agreement shall remain in effect for thirty-six (36) months, unless earlier terminated by either Party upon written notice.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Disposition of Play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announced that its Board of Directors had approved the disposition of Play Company to its previous owner. The proposed disposition is subject to shareholder approval at the Company’s 2026 annual general meeting of its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Disposition of Bitcoin Holdings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the Company sold all of its bitcoin holdings for an aggregate of $64,221,193. While the Company has not abandoned its treasury strategy, the Company has determined to halt its treasury strategy and focus on investing in AI infrastructure.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Disposition of Solaire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K Enter entered into that certain Equity Purchase Agreement (the “Solaire Purchase Agreement”), by and among K Enter and Pyungho Choi, Youngjae Lee, Hyojeong Song, CY Holdings Co., Ltd., Soogyeong Park, Nayoung Hyun, Myeonghyeon Lee and Minsoo Kim (collectively, the “Solaire Sellers”), pursuant to which the Company purchased from the Solaire Sellers an aggregate of 95% of the equity interests (collectively, the “Solaire Equity”) in Solaire Partners LLC (“Solaire”). In consideration of the Solaire Equity, the Company issued to the Solaire Sellers an aggregate of 9,827,057 of the Company’s Ordinary Shares, par value $0.0001 per share (“Ordinary Shares”). Mr. Pyeungho Choi currently serves as Chairman of the Company’s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2026, the Company entered into a Rescission and Termination Agreement (the “Rescission Agreement”), by and among the Company and Pyungho Choi, Youngjae Lee, CY Holdings Co., Ltd., Soogyeong Park, Myeonghyeon Lee and Minsoo Kim (collectively, the “Rescission Sellers”), pursuant to which the Company and the Rescission Sellers agreed to terminate and rescind the Solaire Purchase Agreement, the Company agreed to transfer the Solaire Equity to the Rescission Sellers within 60 days of the execution of the Rescission Agreement, and the Rescission Sellers agreed to transfer 9,827,057 Ordinary Shares to the Company within 60 days of the execution of the Rescission Agreement. Additionally, pursuant to the Rescission Agreement, Pyeungho Choi agreed to resign from, and as Chairman of, the Company’s Board of Directors within 60 days of the execution of the Rescission Agreement, subject to the consummation of the transfers of the Shares and the 9,827,057 Ordinary Shares under the Rescission Agreement. The Rescission Agreement contains a mutual release, pursuant to which Company and the Rescission Sellers released each other from all claims relating to the Solaire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b_004"/>
      <w:bookmarkEnd w:id="20"/>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any securities offered pursuant to this prospectus and the applicable prospectus supplement involves risks. You should carefully consider the risk factors set forth in our most recent Annual Report on Form 20-F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of 1934,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b_005"/>
      <w:bookmarkEnd w:id="21"/>
      <w:r>
        <w:rPr>
          <w:rFonts w:ascii="Times New Roman;Times;Serif" w:hAnsi="Times New Roman;Times;Serif"/>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as set forth in the applicable prospectus supplement(s).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b_006"/>
      <w:bookmarkEnd w:id="22"/>
      <w:r>
        <w:rPr>
          <w:rFonts w:ascii="Times New Roman;Times;Serif" w:hAnsi="Times New Roman;Times;Serif"/>
          <w:b/>
          <w:i w:val="false"/>
          <w:caps w:val="false"/>
          <w:smallCaps w:val="false"/>
          <w:sz w:val="20"/>
        </w:rPr>
        <w:t>DESCRIPTION OF SHARE CAPITAL AND ARTICLES OF ASSOCIATION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summary of the material terms of our share capital is not intended to be a complete summary of the rights and preferences of such securities, and should be read together with the Company’s Amended and Restated Memorandum and Articles of Association dated March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12, 2025 (the “Memorandum and Articles of Association”). We urge you to read the Memorandum and Articles of Association in its entirety for a complete description of the rights and preferences of our 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(company number 401003). Our affairs are governed by our Memorandum and Articles of Association as amended and restated from time to time, the Companies Act (As Revised) of the Cayman Islands (the “Companies Act”), and the common law of the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objects for which the Company is established are unrestricted and the Company has full power and authority to carry out any object not prohibited by the laws of the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 of members is maintained by Continental Stock Transfer &amp; Trust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US$100,000 divided into 990,000,000 Ordinary Shares of par value US$0.0001 each and 10,000,000 preference shares of par value US$0.0001 each. As of December 31, 2025, there were 64,221,193 Ordinary Shares issued and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fully paid and non-assessable. Certificates representing the Ordinary Shares are issued in registered form. The Company may not issue shares to bearer. Our shareholders who are non-residents of the Cayman Islands may freely hold and transfer their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only one class of issued Ordinary Shares, which have identical rights in all respects and rank equally with one another.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provide for other classes of shares, including classes of preferred shares, out of our authorized but unissued share capital, which could be utilized for a variety of corporate purposes, including future offerings to raise capital for corporate purposes or for use in employee benefit plans. Such additional classes of shares may have such rights, restrictions, preferences, privileges and payment obligations as determined by our Board. If we issue any preferred shares, the rights, preferences and privileges of holders of our Ordinary Shares will be subject to, and may be adversely affected by, the rights of the holders of such preferred shares. See “</w:t>
      </w: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64,221,193 Ordinary Shares issued and outstanding. In addition, as of December 31, 2025, there were 9,848,225 public warrants outstanding, 4,312,180 SPA Warrants outstanding and 200,000 Galaxy Warrants outstanding. The SPA Notes issued to the Anson Funds are convertible into Ordinary Shares at a conversion price of $4.40 per Ordinary Share. Each SPA Note also provides that, at any time after the issuance date of such SPA Note, the holder may, at its option, convert pursuant to an Alternate Conversion, all or any part of the outstanding principal and accrued and unpaid interest under such SPA Note into Ordinary Shares at a conversion price equal to 92% of the lowest daily volume weighted average price of the Ordinary Shares for such date (or the nearest preceding date) on the trading market on which the Ordinary Shares are then listed or quoted in the ten trading days prior to the applicable Alternate Conversion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Ordinary Shares are entitled to such dividends as may be declared by our Board subject to our Memorandum and Articles of Association and the Companies Act. No dividend or other distribution may be paid except out of the realized or unrealized profits of the Company, out of the share premium account or as otherwise permitted by law. No dividend may be declared and paid unless our Directors determine that, immediately after the payment, the Company will be able to pay its debts as they become due in the ordinary course of business and the Company has funds lawfully available for such purpose. Dividends and other distributions will be paid according to the par value of the shares that a shareholder holds.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are entitled to one vote for each share held of record on all matters to be voted on by shareholders. A quorum required for a meeting of shareholders consists of the holders of a majority of the shares being individuals present in person or by proxy or, if a corporation or other non-natural person, by its duly authorized representative or proxy. Voting at any meeting of shareholders is by poll and not on a show of hands.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will be required for important matters such as a merger or consolidation of the Company, change of name or making changes to our Memorandum and Articles of Association or the voluntary winding up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any ordinary resolution by our shareholders requires the affirmative vote of a simple majority of the votes permitted to be cast by persons present (in person or by proxy) and voting at a general meeting at which a quorum is present, while a special resolution requires the affirmative vote of no less than two-thirds of the votes permitted to be cast by persons present (in person or by proxy) and voting at any such meeting, or, in each case, a unanimous resolution in writing.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any ordinary resolution by our shareholders requires the affirmative vote of a simple majority of the votes cast by such shareholders who, being entitled to do so, attend (in person or by proxy) and vote at a general meeting at which a quorum is present, while a special resolution requires the affirmative vote of no less than two-thirds of the votes cast by such shareholders who, being entitled to do so, attend (in person or by proxy) and vote at any such meeting, or, in each case, a unanimous resolution in writing.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provide that at least five clear days’ notice shall be given of any general meeting. The notice must specify the place, the day and the hour of the meeting and the general nature of the business to be conducted at the general meeting. No business may be transacted at any general meeting unless a quorum is present. A quorum required for a meeting of shareholders consists of the holders of a majority of the shares being individuals present in person or by proxy or, if a corporation or other non-natural person, by its duly authorized representative or proxy.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of Association, all general meetings of the Company other than annual general meetings are called extraordinary general meetings. No business may be transacted at any general meeting other than business properly brought before the meeting.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General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provide that the Company may, but is not (unless required by the Companies Act) be obliged to, in each year hold a general meeting as its annual general meeting. Any annual general meeting will be held at such time and place as the Directors shall appoint. 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shareholders in connection with the previous year’s annual general meeting.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Extraordinary General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provide that the Directors or the chairperson of our Board of Directors may call general meetings. Shareholders do not have the ability to call general meetings.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Memorandum and Articles of Association, if our share capital is divided into more than one class of shares, the rights attached to any such class may, whether or not the Company is being wound up, be varied without the consent of the holders of the issued shares of that class where such variation is considered by our Directors not to have a material adverse effect upon such rights; otherwise, any such variation may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empowered to allot, issue, grant options over or otherwise dispose of shares with or without preferred, deferred, or other rights or restrictions. We currently have in place the K Wave 2024 Equity Incentive Plan under which awards in our Ordinary Shares can be granted to eligible participants.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shareholders may transfer all or any of their Ordinary Shares by an instrument of transfer in the usual or common form or any other form prescribed by the stock exchange, the SEC and/or any other competent regulatory authority or otherwise under applicable law, or approved by our Board of Directors, subject to the applicable restrictions of our Memorandum and Articles of Association, such as the determination by the Directors that a proposed transfer is not eligible.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Cayman Islands law applicable to us, or under our Memorandum and Articles of Association, that require us to disclose shareholder ownership above any particular ownership threshold.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the Memorandum and Articles of Association on the rights of non-resident or foreign shareholders to hold or exercise voting rights on our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K Wave or our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assets available for distribution amongst the shareholders will be distributed so that, as nearly as may be, the losses shall be borne by the shareholders in proportion to the par value of the shares held by them; or if the assets available for distribution is more than sufficient to repay the whole of the Company’s issued share capital at the commencement of the winding up, the surplus will be distributed amongst the shareholders in proportion to the par value of the shares held by them at the commencement of the winding up.</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Shares and Forfeiture of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shares in a notice served to such shareholders at least 14 days prior to the specified time of payment. The shares that have been called upon and remain unpaid are subject to forfeiture.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vested in our Board of Directors. Our Memorandum and Articles of Association provide that questions arising at any meeting of Directors shall be decided by a majority of votes. In the case of an equality of votes, the chairperson shall have a second or casting vote. A resolution in writing signed by all the Directors will be as valid and effectual as if it had been passed at a meeting of the Directors duly convened and held. The quorum for the transaction of the business of the Directors may be fixed by the Directors, and unless so fixed shall be a majority of the Directors then in office.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provide that there shall be a Board of Directors consisting of not less than one person, provided that the Company may by ordinary resolution increase or reduce the limits in the number of Directors. The Directors are divided into three classes: Class I, Class II and Class III. The number of Directors in each class are to be as equal as possible. Directors appointed to succeed those Directors whose terms expire are appointed for a term of office to expire at the third succeeding annual general meeting after their appointment.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ordinary resolution appoint any person to be a Director or may by ordinary resolution remove any Director. The Directors may also appoint any person to be a Director, either to fill a vacancy or as an additional Director. In the interim between annual general meetings, additional Directors and any vacancies in the Board of Directors, including unfilled vacancies resulting from the removal of Directors for cause, may be filled by the vote of a majority of the remaining Directors then in office, although less than a quorum, or by the sole remaining Director.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 Director shall be vacated if: (a) the Director gives notice in writing to the Company that they resign the office of Director; (b) the Director is absent from three consecutive meetings of the Board of Directors without special leave of absence from the Directors, and the Directors pass a resolution that they have by reason of such absence vacated office; (c) the Director dies, becomes bankrupt or makes any arrangement or composition with their creditors generally; (d) the Director is found to be or becomes of unsound mind; or (e) all of the other Directors (being not less than two in number) determine that the Director should be removed.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hold office until the expiration of their respective terms of office and until their successors shall have been appointed and qualified. A Director appointed to fill a vacancy resulting from the death, resignation or removal of a Director will serve for the remainder of the full term of the Director whose death, resignation or removal created such vacancy and until their successor shall have been appointed and qualified.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cumulative voting with respect to the appointment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of Association, a Director may hold any other office or place of profit under the Company in conjunction with their office of Director. A Director may be or become a director or other officer of or otherwise interested in any company promoted by the Company or in which the Company may be interested. A Director will be at liberty to vote in respect of any contract or transaction in which they are interested provided that the nature of the interest of any Director in any such contract or transaction is disclosed by them at or prior to its consideration and any vote thereon.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entitled to such remuneration as the Directors may from time to time determine.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Indemnity of Directors and Officers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provide that every Director and Officer shall be indemnified out of the assets of the Company against any liability, action, proceeding, claim, demand, costs, damages or expenses, including legal expenses, whatsoever which they may incur as a result of any act or failure to act in carrying out their functions other than such liability that they may incur by reason of their own actual fraud, willful neglect or willful default. The Company must advance to each indemnified person reasonable attorneys’ fees and other costs and expenses incurred in connection with the defense of any action, suit, proceeding or investigation.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in Company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Companies Act allows for mergers or consolidations between two Cayman Islands companies, or between a Cayman Islands exempted company and a company incorporated in another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it is permitted or not prohibited by the constitutional documents of the company incorporated in another jurisdiction and facilitated by the laws of that other jurisdiction).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(usually the affirmative vote of the holders of at least a two-thirds majority of the issued Shares of the Company that are present in person or represented by proxy and entitled to vote thereon and who vote at the general meeting) of the shareholders of each company; and (b) such other authorization, if any, as may be specified in such constituent company’s articles of association. Unless required by its articles of association, no shareholder resolution is required for a merger between a parent company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a company that owns at least 90% of the issued shares of each class in a subsidiary company) and its subsidiary company if a copy of the plan of merger or consolidation is given to every member of the subsidiary company unless that member agrees otherwise.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must be obtained, unless the Cayman Islands court waives such requirement or makes such order as the Cayman Islands court otherwise considers reasonable. If the Registrar of Companies of the Cayman Islands is satisfied that the requirements of the Companies Act (which includes certain other formalities) have been complied with, the Registrar of Companies of the Cayman Islands will register the plan of merger or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obtaining the relevant authorizations and consents, a director of each Cayman Islands company must sign the plan of merger or consolidation on behalf of their company and file the plan with the Registrar of Companies together with prescribed documents such as certificates of good standing, director’s declarations that, among other things: (a) the constituent company is, and the consolidated or surviving company will be, immediately after merger or consolidation, able to pay its debts as they fall due; (b) that the merger or consolidation is bona fide and not intended to defraud unsecured creditors of the constituent companies; and that (c)(i) no petition or other similar proceeding has been filed and remains outstanding or order made or resolution adopted to wind up the company in any jurisdiction; (iii) no receiver, trustee, administrator or other similar person has been appointed in any jurisdiction and is acting in respect of the constituent company, its affairs or its property or any part thereof; and (iv) no scheme, order, compromise or other similar arrangement has been entered into or made in any jurisdiction whereby the rights of creditors of any constituent company are and continue to be suspended or restricted.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involves a foreign company and the surviving company is the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the jurisdiction in which the foreign company is existing;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surviving company is the Cayman Islands exempted company, in addition to the above declarations,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above procedures are adopted, the Companies Act provides for a right of dissenting shareholders to be paid a payment of the fair value of their shares upon their dissenting to the merger or consolidation if they follow a prescribed procedure. In essence, that procedure is as follows: (a) the shareholder must give their written objection to the merger or consolidation to the constituent company before the vote on the merger or consolidation, including a statement that the shareholder proposes to demand payment for their shares if the merger or consolidation is authorized by the vote; (b) within 20 days following the date on which the merger or consolidation is approved by the shareholders, the constituent company must give written notice of such approval to each shareholder who made a written objection; (c) a shareholder must within 20 days following receipt of such notice from the constituent company, give the constituent company a written notice of their intention to dissent including, among other details, a demand for payment of the fair value of their shares; (d) within seven days following the date of the expiration of the period set out in paragraph (c) above or within seven days following the date on which the plan of merger or consolidation is filed, whichever is later, the constituent company, the surviving company or the consolidated company must make a written offer to each dissenting shareholder to purchase their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may) shall file a petition with the Cayman Islands courts to determine the fair value and such petition must be accompanied by a list of the names and addresses of the dissenting shareholders with whom agreements as to the fair value of their shares have not been reached by the company. At the hearing of that petition, the Cayman Islands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where the consideration for such shares are shares of any company listed on a national securities exchange or shares of the surviving or consolidated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Cayman Islands law has separate statutory provisions that facilitate the reconstruction or amalgamation of companies in certain circumstances, that will generally be more suited for complex mergers or other transactions involving widely held companies. Such transactions, commonly referred to in the Cayman Islands as a “scheme of arrangement,”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(i) in respect a scheme of arrangement proposed between a company and its shareholders (or any class of shareholder), three fourths in value of the shareholders (or each class of shareholder) who attend and vote, either in person or by proxy, at a meeting (or meetings) convened for that purpose; or (ii) in respect of a scheme of arrangement proposed between a company and its creditors (or any class of creditors), a majority in number representing three fourths in value of the creditors (or each class of creditors) who attend and vote, either in person or by proxy, at a meeting (or meetings) convened for that purpose. The convening of the meetings and subsequently the terms of the arrangement must be sanctioned by the Cayman Islands court. While a dissenting shareholder would have the right to express to the Cayman Islands court the view that the scheme of arrangement should not be sanctioned, the Cayman Islands court may be expected to sanction the scheme of arrangement if it satisfies itself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proposing to act illegally or beyond the scope of its corporate authority and the statutory provisions as to majority vote have been complied with;</w:t>
            </w:r>
          </w:p>
        </w:tc>
      </w:tr>
    </w:tbl>
    <w:p>
      <w:pPr>
        <w:pStyle w:val="TextBody"/>
        <w:bidi w:val="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as a businessman would reasonably approve;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 or that would amount to a “fraud on the minority.”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scheme of arrangement is sanctioned by the Cayman Islands court, the scheme of arrangement will be binding on all of the shareholders (or each class of shareholder) or creditors (or each class of creditor).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scheme of arrangement or takeover offer (as described below) is sanctioned by the Cayman Islands court,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Squeeze-out Provisions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not less than 90% of the shares to whom the offer relates within four months, the offeror may, within a two-month period, require the holders of the remaining shares to transfer such shares on the terms of the offer. An objection can be made to the Cayman Islands courts, but this is unlikely to succeed unless there is evidence of fraud, bad faith, collusion or inequitable treatment of the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(Cayman) LLP, our Cayman Islands legal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pStyle w:val="TextBody"/>
        <w:bidi w:val="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is acting, or proposing to act, illegally or beyond the scope of its authority;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beyond the scope of the authority, could be effected if duly authorized by more than the number of votes which have actually been obtained; or</w:t>
            </w:r>
          </w:p>
        </w:tc>
      </w:tr>
    </w:tbl>
    <w:p>
      <w:pPr>
        <w:pStyle w:val="TextBody"/>
        <w:bidi w:val="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Enforcement of Civil Liabilities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Considerations for Exempted Companies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does not have to file an annual return of its shareholders with the Registrar of Companies of the Cayman Islands;</w:t>
            </w:r>
          </w:p>
        </w:tc>
      </w:tr>
    </w:tbl>
    <w:p>
      <w:pPr>
        <w:pStyle w:val="TextBody"/>
        <w:bidi w:val="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company’s register of members is not open to inspection;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does not have to hold an annual general meeting;</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issue shares with no par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obtain an undertaking against the imposition of any future taxation (such undertakings are usually given for 30 years in the first instance);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by way of continuation in another jurisdiction and be deregistered in the Cayman Islands;</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as a limited duration company; and</w:t>
            </w:r>
          </w:p>
        </w:tc>
      </w:tr>
    </w:tbl>
    <w:p>
      <w:pPr>
        <w:pStyle w:val="TextBody"/>
        <w:bidi w:val="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may register as a segregated portfolio company.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willful default, willful neglect, actual fraud or the consequences of committing a crime. Our Memorandum and Articles of Association permit indemnification of officers and directors, to the fullest extent permitted under the laws of the Cayman Islands, for any liability and loss suffered and expenses, including legal expenses, incurred in their capacities as such in connection with any action, suit or proceeding, where civil, administrative or investigative. This standard of conduct is generally the same as permitted under the Delaware General Corporation Law for a Delaware corporation. In addition, we have entered into indemnification agreements with our directors that will provide such persons with additional indemnification beyond that provided in our Memorandum and Articles of Association.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A director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directors and officers owe the following fiduciary duties:</w:t>
      </w:r>
    </w:p>
    <w:p>
      <w:pPr>
        <w:pStyle w:val="TextBody"/>
        <w:bidi w:val="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act in good faith in what the director or officer believes to be in the best interests of the company as a whole;</w:t>
            </w:r>
          </w:p>
        </w:tc>
      </w:tr>
    </w:tbl>
    <w:p>
      <w:pPr>
        <w:pStyle w:val="TextBody"/>
        <w:bidi w:val="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powers for the purposes for which those powers were conferred and not for a collateral purpose;</w:t>
            </w:r>
          </w:p>
        </w:tc>
      </w:tr>
    </w:tbl>
    <w:p>
      <w:pPr>
        <w:pStyle w:val="TextBody"/>
        <w:bidi w:val="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should not improperly fetter the exercise of future discretion;</w:t>
            </w:r>
          </w:p>
        </w:tc>
      </w:tr>
    </w:tbl>
    <w:p>
      <w:pPr>
        <w:pStyle w:val="TextBody"/>
        <w:bidi w:val="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powers fairly as between different sections of shareholders;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not to put themselves in a position in which there is a conflict between their duty to the company and their personal interests; and</w:t>
            </w:r>
          </w:p>
        </w:tc>
      </w:tr>
    </w:tbl>
    <w:p>
      <w:pPr>
        <w:pStyle w:val="TextBody"/>
        <w:bidi w:val="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independent judgment.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Action by Written Consent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Under our Memorandum and Articles of Association, the Directors or the chairperson of the Board of Directors may call general meetings, and members do not have the ability to call general meetings. Members seeking to bring business before the annual general meeting or to nominate candidates for appointment as directors must deliver notice to the principal executive offices of the Company not less than 120 calendar days before the date of the Company’s proxy statement released to members in connection with the previous year’s annual general meeting.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may be removed for cause with the approval of a majority of the issued and outstanding shares entitled to vote, unless the certificate of incorporation provides otherwise. Under our Memorandum and Articles of Association, the Company may by ordinary resolution appoint any person to be a Director or may by ordinary resolution remove any Director. The office of a Director shall also be vacated if (i) the Director gives notice in writing to the Company that they resign; (ii) the Director is absent from three consecutive meetings of the Board of Directors without special leave of absence from the Directors, and the Directors pass a resolution that they have by reason of such absence vacated office; (iii) the Director dies, becomes bankrupt or makes any arrangement or composition with their creditors generally; (iv) the Director is found to be or becomes of unsound mind; or (v) all of the other Directors (being not less than two in number) determine that the Director should be removed.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Memorandum and Articles of Association, if the Company is wound up, the liquidator of our company may distribute the assets with the sanction of a special resolution of the shareholders and any other sanction required by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Memorandum and Articles of Association, if our share capital is divided into more than one class of shares, the rights attached to any such class may, whether or not the Company is being wound up, be varied without the consent of the holders of the issued shares of that class where such variation is considered by our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on the matter, unless the certificate of incorporation provides otherwise. As permitted by Cayman Islands law, the Memorandum and Articles of Association may only be amended by a special resolution of the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 to Issue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our Board of Directors is empowered to issue or allot shares or grant options and warrants with or without preferred, deferred, or other rights or restrictions.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any shareholder of a corporation may for any proper purpose inspect or make copies of the corporation’s stock ledger, list of shareholders and other books and records.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have no general right under Cayman Islands law to inspect or obtain copies of our register of members or our corporate records.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Waiver of Certain Corporate Opportunities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the Memorandum and Articles of Association). This is subject to applicable law and may be waived by the relevant director.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Continental Stock Transfer &amp; Trust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public warrants are listed on the Nasdaq Stock Market LLC under the symbols “KWM” and “KWMWW,”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b_007"/>
      <w:bookmarkEnd w:id="23"/>
      <w:r>
        <w:rPr>
          <w:rFonts w:ascii="Times New Roman;Times;Serif" w:hAnsi="Times New Roman;Times;Serif"/>
          <w:b/>
          <w:i w:val="false"/>
          <w:caps w:val="false"/>
          <w:smallCaps w:val="false"/>
          <w:sz w:val="20"/>
        </w:rPr>
        <w:t>DESCRIPTION OF PREFERRED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$100,000 divided into 990,000,000 Ordinary Shares of par value $0.0001 each and 10,000,000 preference shares of par value $0.0001 each. Our Memorandum and Articles of Association provide that our Board may provide for other classes of shares, including classes of preferred shares, out of our authorized but unissued share capital, which could be utilized for a variety of corporate purposes, including future offerings to raise capital for corporate purposes or for use in employee benefit plans. Such additional classes of shares may have such rights, restrictions, preferences, privileges and payment obligations as determined by our Board. If we issue any preferred shares, the rights, preferences and privileges of holders of our Ordinary Shares will be subject to, and may be adversely affected by, the rights of the holders of such preferred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preferred shares will be described in the prospectus supplement relating to the issue. Those terms may include:</w:t>
      </w:r>
    </w:p>
    <w:p>
      <w:pPr>
        <w:pStyle w:val="TextBody"/>
        <w:bidi w:val="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number of preferred shares;</w:t>
            </w:r>
          </w:p>
        </w:tc>
      </w:tr>
    </w:tbl>
    <w:p>
      <w:pPr>
        <w:pStyle w:val="TextBody"/>
        <w:bidi w:val="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price per preferred share (or if applicable, the calculation formula of the issue price per preferred share);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 on the preferred shares, the dividend payment dates, the periods in respect of which dividends are payable, whether such dividends shall be cumulative and, if cumulative, the date or dates from which dividends shall accumulate;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shall be convertible into, or exchangeable for, Ordinary Shares or preferred shares of another category, and, if applicable, conditions of an automatic conversion into Ordinary Shares, if any, the conversion period, the conversion price, or how such price will be calculated, and under what circumstances it may be adjusted;</w:t>
            </w:r>
          </w:p>
        </w:tc>
      </w:tr>
    </w:tbl>
    <w:p>
      <w:pPr>
        <w:pStyle w:val="TextBody"/>
        <w:bidi w:val="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 per preferred share, if any;</w:t>
            </w:r>
          </w:p>
        </w:tc>
      </w:tr>
    </w:tbl>
    <w:p>
      <w:pPr>
        <w:pStyle w:val="TextBody"/>
        <w:bidi w:val="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shares;</w:t>
            </w:r>
          </w:p>
        </w:tc>
      </w:tr>
    </w:tbl>
    <w:p>
      <w:pPr>
        <w:pStyle w:val="TextBody"/>
        <w:bidi w:val="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restrictions on transfer, sale or assignment,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or United States federal income tax considerations applicable to the preferred shares; and</w:t>
            </w:r>
          </w:p>
        </w:tc>
      </w:tr>
    </w:tbl>
    <w:p>
      <w:pPr>
        <w:pStyle w:val="TextBody"/>
        <w:bidi w:val="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rights, preferences, privileges, qualifications or restrictions of the preferred shares.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preferred shares under this prospectus and the applicable prospectus supplement, the preferred shares will be fully paid and non-assessable and will not have, or be subject to, any pre-emptive or similar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could adversely affect the voting power of holders of our Ordinary Shares and reduce the likelihood that holders of our Ordinary Shares will receive dividend payments and payments upon liquidation. The issuance could have the effect of decreasing the market price of our Ordinary Shares. The issuance of preferred shares also could delay, deter or prevent a change in control of the Company, or make removal of management more difficult. As of the date of this prospectus, there are no issued and outstanding preferred shares of any series.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b_008"/>
      <w:bookmarkEnd w:id="24"/>
      <w:r>
        <w:rPr>
          <w:rFonts w:ascii="Times New Roman;Times;Serif" w:hAnsi="Times New Roman;Times;Serif"/>
          <w:b/>
          <w:i w:val="false"/>
          <w:caps w:val="false"/>
          <w:smallCaps w:val="false"/>
          <w:sz w:val="20"/>
        </w:rPr>
        <w:t>DESCRIPTION OF DEBT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Ordinary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The following description is a summary of selected provisions relating to the debt securities that we may issue. The summary is not complete. 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 which may modify or replace the general terms described in this section.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pStyle w:val="TextBody"/>
        <w:bidi w:val="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debt securities;</w:t>
            </w:r>
          </w:p>
        </w:tc>
      </w:tr>
    </w:tbl>
    <w:p>
      <w:pPr>
        <w:pStyle w:val="TextBody"/>
        <w:bidi w:val="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(expressed as a percentage of the aggregate principal amount) at which we will sell the debt securities;</w:t>
            </w:r>
          </w:p>
        </w:tc>
      </w:tr>
    </w:tbl>
    <w:p>
      <w:pPr>
        <w:pStyle w:val="TextBody"/>
        <w:bidi w:val="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on the aggregate principal amount of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we will repay the principal on the debt securities and the right, if any, to extend the maturity of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the principal of, premium, and interest on the debt securities will be payable, and where the debt securities of the series that are convertible or exchangeable may be surrendered for conversion or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the debt securities will be issued;</w:t>
            </w:r>
          </w:p>
        </w:tc>
      </w:tr>
    </w:tbl>
    <w:p>
      <w:pPr>
        <w:pStyle w:val="TextBody"/>
        <w:bidi w:val="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75"/>
        <w:gridCol w:w="170"/>
        <w:gridCol w:w="8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issued in the form of certificated debt securities or global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principal amount of the debt securities payable upon declaration of acceleration of the maturity date, if other than the principal amount;</w:t>
            </w:r>
          </w:p>
        </w:tc>
      </w:tr>
    </w:tbl>
    <w:p>
      <w:pPr>
        <w:pStyle w:val="TextBody"/>
        <w:bidi w:val="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denomination of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currency, currencies or currency units in which payment of principal of, premium and interest on the debt securities will be made;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any security provided for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 to or change in the events of default described in the indenture with respect to the debt securities and any change in the acceleration provisions described in the indenture with respect to the debt securities;</w:t>
            </w:r>
          </w:p>
        </w:tc>
      </w:tr>
    </w:tbl>
    <w:p>
      <w:pPr>
        <w:pStyle w:val="TextBody"/>
        <w:bidi w:val="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 to or change in the covenants described in the indenture with respect to the debt securities;</w:t>
            </w:r>
          </w:p>
        </w:tc>
      </w:tr>
    </w:tbl>
    <w:p>
      <w:pPr>
        <w:pStyle w:val="TextBody"/>
        <w:bidi w:val="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senior or subordinated and any applicable subordination provisions;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or United States federal income tax considerations applicable to the debt securities;</w:t>
            </w:r>
          </w:p>
        </w:tc>
      </w:tr>
    </w:tbl>
    <w:p>
      <w:pPr>
        <w:pStyle w:val="TextBody"/>
        <w:bidi w:val="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debt securities, which may modify any provisions of the indenture as it applies to that series;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depositaries, interest rate calculation agents, exchange rate calculation agents or other agents with respect to the debt securities.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or other securities to be received by the holders of debt securities would be calculated.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 w:name="b_009"/>
      <w:bookmarkEnd w:id="25"/>
      <w:r>
        <w:rPr>
          <w:rFonts w:ascii="Times New Roman;Times;Serif" w:hAnsi="Times New Roman;Times;Serif"/>
          <w:b/>
          <w:i w:val="false"/>
          <w:caps w:val="false"/>
          <w:smallCaps w:val="false"/>
          <w:sz w:val="20"/>
        </w:rPr>
        <w:t>DESCRIPTION OF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Ordinary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warrants are to be issued under equity warrant agreements to be entered into between us and one or more banks or trust companies, as equity warrant agent, as will be set forth in the applicable prospectus supplement and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pStyle w:val="TextBody"/>
        <w:bidi w:val="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170"/>
        <w:gridCol w:w="2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equity warrants;</w:t>
            </w:r>
          </w:p>
        </w:tc>
      </w:tr>
    </w:tbl>
    <w:p>
      <w:pPr>
        <w:pStyle w:val="TextBody"/>
        <w:bidi w:val="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170"/>
        <w:gridCol w:w="1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equity warrants and the aggregate amount of equity securities purchasable upon exercise of the equity warrants;</w:t>
            </w:r>
          </w:p>
        </w:tc>
      </w:tr>
    </w:tbl>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currency units in which the offering price, if any, and the exercise price are payable;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equity securities with which the equity warrants are issued, and the amount of equity warrants issued with each equity security;</w:t>
            </w:r>
          </w:p>
        </w:tc>
      </w:tr>
    </w:tbl>
    <w:p>
      <w:pPr>
        <w:pStyle w:val="TextBody"/>
        <w:bidi w:val="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equity warrants and the related equity security will be separately transferable;</w:t>
            </w:r>
          </w:p>
        </w:tc>
      </w:tr>
    </w:tbl>
    <w:p>
      <w:pPr>
        <w:pStyle w:val="TextBody"/>
        <w:bidi w:val="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the equity warrants that may be exercised at any one time;</w:t>
            </w:r>
          </w:p>
        </w:tc>
      </w:tr>
    </w:tbl>
    <w:p>
      <w:pPr>
        <w:pStyle w:val="TextBody"/>
        <w:bidi w:val="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equity warrants will commence and the date on which the right will expire;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or United States federal income tax considerations applicable to the equity warrants;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of the equity warrants, if any;</w:t>
            </w:r>
          </w:p>
        </w:tc>
      </w:tr>
    </w:tbl>
    <w:p>
      <w:pPr>
        <w:pStyle w:val="TextBody"/>
        <w:bidi w:val="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or call provisions, if any, applicable to the equity warrants;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terms of the equity warrants, including terms, procedures and limitations relating to the exchange and exercise of the equity warrants.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warrants are to be issued under debt warrant agreements to be entered into between us, and one or more banks or trust companies, as debt warrant agent, as will be set forth in the applicable prospectus supplement and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debt warrants, the debt warrant agreement relating to the debt warrants and the debt warrant certificates representing debt warrants will be described in the applicable prospectus supplement, including, as applicable:</w:t>
      </w:r>
    </w:p>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debt warrants;</w:t>
            </w:r>
          </w:p>
        </w:tc>
      </w:tr>
    </w:tbl>
    <w:p>
      <w:pPr>
        <w:pStyle w:val="TextBody"/>
        <w:bidi w:val="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170"/>
        <w:gridCol w:w="1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w:t>
            </w:r>
          </w:p>
        </w:tc>
      </w:tr>
    </w:tbl>
    <w:p>
      <w:pPr>
        <w:pStyle w:val="TextBody"/>
        <w:bidi w:val="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aggregate principal amount and terms of the debt securities purchasable upon exercise of the debt warrants;</w:t>
            </w:r>
          </w:p>
        </w:tc>
      </w:tr>
    </w:tbl>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currency units in which the offering price, if any, and the exercise price are payable;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terms of any related debt securities with which the debt warrants are issued and the amount of the debt warrants issued with each debt security;</w:t>
            </w:r>
          </w:p>
        </w:tc>
      </w:tr>
    </w:tbl>
    <w:p>
      <w:pPr>
        <w:pStyle w:val="TextBody"/>
        <w:bidi w:val="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debt warrants and the related debt securities will be separately transferable;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debt securities purchasable upon exercise of each debt warrant and the price at which that principal amount of debt securities may be purchased upon exercise of each debt warrant;</w:t>
            </w:r>
          </w:p>
        </w:tc>
      </w:tr>
    </w:tbl>
    <w:p>
      <w:pPr>
        <w:pStyle w:val="TextBody"/>
        <w:bidi w:val="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warrants that may be exercised at any one time;</w:t>
            </w:r>
          </w:p>
        </w:tc>
      </w:tr>
    </w:tbl>
    <w:p>
      <w:pPr>
        <w:pStyle w:val="TextBody"/>
        <w:bidi w:val="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debt warrants will commence and the date on which the right will expire;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or United States federal income tax considerations applicable to the debt warrants;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warrants represented by the debt warrant certificates will be issued in registered or bearer form, and, if registered, where they may be transferred and registered;</w:t>
            </w:r>
          </w:p>
        </w:tc>
      </w:tr>
    </w:tbl>
    <w:p>
      <w:pPr>
        <w:pStyle w:val="TextBody"/>
        <w:bidi w:val="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of the debt warrants, if any;</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or call provisions, if any, applicable to the debt warrants;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terms of the debt warrants, including terms, procedures and limitations relating to the exchange and exercise of the debt warrants.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b_010"/>
      <w:bookmarkEnd w:id="26"/>
      <w:r>
        <w:rPr>
          <w:rFonts w:ascii="Times New Roman;Times;Serif" w:hAnsi="Times New Roman;Times;Serif"/>
          <w:b/>
          <w:i w:val="false"/>
          <w:caps w:val="false"/>
          <w:smallCaps w:val="false"/>
          <w:sz w:val="20"/>
        </w:rPr>
        <w:t>DESCRIPTION OF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of the rights to subscribe for Ordinary Shares (the “Rights”), and any description of rights in the applicable prospectus supplement, does not purport to be complete and is subject to, and qualified in its entirety by reference to, the applicable rights agreement and provisions of the certificate evidencing the Rights that will be filed with the SEC in connection with the offering of such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Rights that the Company may offer to its securityholders from time to time. The Rights may or may not be transferable by the persons purchasing or receiving the Rights. In connection with any Rights offering, the Company may enter into a standby underwriting or other arrangement with one or more underwriters or other persons pursuant to which such underwriters or other persons would purchase any offered securities remaining unsubscribed for after such Rights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Rights will be issued under a separate rights agent agreement to be entered into between the Company and a bank or trust company, as rights agent, that the Company will name in the applicable prospectus supplement. The rights agent will act solely as the Company’s agent in connection with the Rights and will not assume any obligation or relationship of agency or trust for or with any holders of rights certificates or beneficial owners of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the Company may offer from time to time will describe specific terms relating to the offering, including, among other matters:</w:t>
      </w:r>
    </w:p>
    <w:p>
      <w:pPr>
        <w:pStyle w:val="TextBody"/>
        <w:bidi w:val="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170"/>
        <w:gridCol w:w="1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Rights;</w:t>
            </w:r>
          </w:p>
        </w:tc>
      </w:tr>
    </w:tbl>
    <w:p>
      <w:pPr>
        <w:pStyle w:val="TextBody"/>
        <w:bidi w:val="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securityholders entitled to the Rights distribution;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 and the aggregate number of ordinary shares purchasable upon exercise of the Rights;</w:t>
            </w:r>
          </w:p>
        </w:tc>
      </w:tr>
    </w:tbl>
    <w:p>
      <w:pPr>
        <w:pStyle w:val="TextBody"/>
        <w:bidi w:val="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bl>
    <w:p>
      <w:pPr>
        <w:pStyle w:val="TextBody"/>
        <w:bidi w:val="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Rights become exercisable and the date on which the Rights will expire;</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Rights include an over-subscription privilege with respect to unsubscribed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the material Cayman Islands and/or United States federal income tax considerations applicable to the issuance or exercise of such Rights;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other purchase arrangement that the Company may enter into in connection with the Rights offering;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Rights, including terms, transferability, conditions to completion of the Rights offering, procedures and limitation relating to the exchange and exercise of such Rights.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subscribe for cash the principal amount of ordinary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 (unless subject to subscription by another third party pursuant to the terms of such rights offering as described in the relevant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the Company may offer any unsubscribed securities directly to persons other than the Company’s securityholders, to or through agents, underwriters or dealers or through a combination of such methods, including pursuant to standby arrangements, as described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b_011"/>
      <w:bookmarkEnd w:id="27"/>
      <w:r>
        <w:rPr>
          <w:rFonts w:ascii="Times New Roman;Times;Serif" w:hAnsi="Times New Roman;Times;Serif"/>
          <w:b/>
          <w:i w:val="false"/>
          <w:caps w:val="false"/>
          <w:smallCaps w:val="false"/>
          <w:sz w:val="20"/>
        </w:rPr>
        <w:t>DESCRIPTION OF UNITS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any units, certain terms of that series of units will be described in the applicable prospectus supplement, including, without limitation, the following, as applicable:</w:t>
      </w:r>
    </w:p>
    <w:p>
      <w:pPr>
        <w:pStyle w:val="TextBody"/>
        <w:bidi w:val="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series of units;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description of the separate constituent securities comprising the units;</w:t>
            </w:r>
          </w:p>
        </w:tc>
      </w:tr>
    </w:tbl>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units will be issued;</w:t>
            </w:r>
          </w:p>
        </w:tc>
      </w:tr>
    </w:tbl>
    <w:p>
      <w:pPr>
        <w:pStyle w:val="TextBody"/>
        <w:bidi w:val="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constituent securities comprising the units will be separately transferable;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and United States federal income tax considerations applicable to the units; and</w:t>
            </w:r>
          </w:p>
        </w:tc>
      </w:tr>
    </w:tbl>
    <w:p>
      <w:pPr>
        <w:pStyle w:val="TextBody"/>
        <w:bidi w:val="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units and their constituent securities.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b_012"/>
      <w:bookmarkEnd w:id="28"/>
      <w:r>
        <w:rPr>
          <w:rFonts w:ascii="Times New Roman;Times;Serif" w:hAnsi="Times New Roman;Times;Serif"/>
          <w:b/>
          <w:i w:val="false"/>
          <w:caps w:val="false"/>
          <w:smallCaps w:val="false"/>
          <w:sz w:val="20"/>
        </w:rPr>
        <w:t>TAXATION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tax consequences relating to the purchase, ownership and disposition of any of the securities registered by this prospectus will be set forth in any applicable prospectus supplement relating to the offering of such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b_013"/>
      <w:bookmarkEnd w:id="29"/>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being offered hereby in one or more of the following ways from time to time:</w:t>
      </w:r>
    </w:p>
    <w:p>
      <w:pPr>
        <w:pStyle w:val="TextBody"/>
        <w:bidi w:val="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bl>
    <w:p>
      <w:pPr>
        <w:pStyle w:val="TextBody"/>
        <w:bidi w:val="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170"/>
        <w:gridCol w:w="2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bl>
    <w:p>
      <w:pPr>
        <w:pStyle w:val="TextBody"/>
        <w:bidi w:val="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bl>
    <w:p>
      <w:pPr>
        <w:pStyle w:val="TextBody"/>
        <w:bidi w:val="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 than on these exchanges or systems or in the over-the-counter market;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within the meaning of Rule 415(a)(4) under the Securities Act, to or through a market maker or into an existing trading market, on an exchange or otherwise;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bl>
    <w:p>
      <w:pPr>
        <w:pStyle w:val="TextBody"/>
        <w:bidi w:val="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bl>
    <w:p>
      <w:pPr>
        <w:pStyle w:val="TextBody"/>
        <w:bidi w:val="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p>
      <w:pPr>
        <w:pStyle w:val="TextBody"/>
        <w:bidi w:val="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by us or by selling securityholders to purchasers, including through a specific bidding, auction or other process;</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of the above methods of sale; and</w:t>
            </w:r>
          </w:p>
        </w:tc>
      </w:tr>
    </w:tbl>
    <w:p>
      <w:pPr>
        <w:pStyle w:val="TextBody"/>
        <w:bidi w:val="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 permitted pursuant to applicable law and described in a prospectus supplement.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offer and sell, or agree to deliver, securities pursuant to, or in connection with, any option agreement or other contractual arrangement. The securities may be distributed from time to time in one or more transactions:</w:t>
      </w:r>
    </w:p>
    <w:p>
      <w:pPr>
        <w:pStyle w:val="TextBody"/>
        <w:bidi w:val="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fixed price or prices, which may be changed;</w:t>
            </w:r>
          </w:p>
        </w:tc>
      </w:tr>
    </w:tbl>
    <w:p>
      <w:pPr>
        <w:pStyle w:val="TextBody"/>
        <w:bidi w:val="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market prices prevailing at the time of sale;</w:t>
            </w:r>
          </w:p>
        </w:tc>
      </w:tr>
    </w:tbl>
    <w:p>
      <w:pPr>
        <w:pStyle w:val="TextBody"/>
        <w:bidi w:val="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prices related to such prevailing market prices; or</w:t>
            </w:r>
          </w:p>
        </w:tc>
      </w:tr>
    </w:tbl>
    <w:p>
      <w:pPr>
        <w:pStyle w:val="TextBody"/>
        <w:bidi w:val="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170"/>
        <w:gridCol w:w="1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Ordinary Shares will be listed on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 negotiated transactions, or through an underwritten public offering, or through a combination of any such methods of sale, at market prices prevailing at the time of sale, prices relating to such prevailing market prices or at negotiated or fixed prices.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in respect of any given offering will be described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any offering of our securities will be detailed in the applicable prospectus supplement. The underwriters, dealers and agents may engage in transactions with us, or perform services for us, in the ordinary course of business for which they receive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identify the specific plan of distribution, including any agents, underwriters, dealers, remarketing firms or other third parties and their compensation in a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0" w:name="b_014"/>
      <w:bookmarkEnd w:id="30"/>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and the preferred shares being registered hereby and certain other matters of Cayman Islands law will be passed upon for us by Maples and Calder (Cayman) LLP. The validity of the warrants, debt securities, Rights and units being registered hereby and certain other matters of New York state law and United States federal securities laws will be passed upon for us by Duane Morris LLP. Additional legal matters may be passed upon for us, any underwriters, dealers or agents by counsel that we will name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1" w:name="b_015"/>
      <w:bookmarkEnd w:id="31"/>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ind w:left="0" w:right="0" w:firstLine="720"/>
        <w:jc w:val="both"/>
        <w:rPr/>
      </w:pPr>
      <w:r>
        <w:rPr>
          <w:rFonts w:ascii="Times New Roman;Times;Serif" w:hAnsi="Times New Roman;Times;Serif"/>
          <w:b w:val="false"/>
          <w:i w:val="false"/>
          <w:caps w:val="false"/>
          <w:smallCaps w:val="false"/>
          <w:sz w:val="20"/>
        </w:rPr>
        <w:t xml:space="preserve">The financial statements incorporated in this Prospectus and Registration statement on Form F-3 by reference to the Company’s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2025 have been so incorporated in reliance on the report (which contains an explanatory paragraph relating to the Company’s ability to continue as a going concern as described in Note 2 to the financial statements) of Samil PricewaterhouseCoopers, an independent registered public accounting firm, given on the authority of said firm as experts in auditing and accounting.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pPr>
      <w:r>
        <w:rPr>
          <w:rFonts w:ascii="Times New Roman;Times;Serif" w:hAnsi="Times New Roman;Times;Serif"/>
          <w:b w:val="false"/>
          <w:i w:val="false"/>
          <w:caps w:val="false"/>
          <w:smallCaps w:val="false"/>
          <w:sz w:val="20"/>
        </w:rPr>
        <w:t xml:space="preserve">The audited historical financial statements of Hansol Inticube Co. Ltd included on page 1 of K Wave Media Ltd.’s Current Report on </w:t>
      </w:r>
      <w:hyperlink r:id="rId5">
        <w:r>
          <w:rPr>
            <w:rStyle w:val="InternetLink"/>
            <w:rFonts w:ascii="Times New Roman;Times;Serif" w:hAnsi="Times New Roman;Times;Serif"/>
            <w:b w:val="false"/>
            <w:i w:val="false"/>
            <w:caps w:val="false"/>
            <w:smallCaps w:val="false"/>
            <w:sz w:val="20"/>
          </w:rPr>
          <w:t>Form 6-K/A</w:t>
        </w:r>
      </w:hyperlink>
      <w:r>
        <w:rPr>
          <w:rFonts w:ascii="Times New Roman;Times;Serif" w:hAnsi="Times New Roman;Times;Serif"/>
          <w:b w:val="false"/>
          <w:i w:val="false"/>
          <w:caps w:val="false"/>
          <w:smallCaps w:val="false"/>
          <w:sz w:val="20"/>
        </w:rPr>
        <w:t xml:space="preserve"> dated June 29, 2026 have been so incorporated in reliance on the report of Samil PricewaterhouseCoopers, an independent registered public accounting firm, given on the authority of said firm as experts in auditing and accounting.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b_016"/>
      <w:bookmarkEnd w:id="32"/>
      <w:r>
        <w:rPr>
          <w:rFonts w:ascii="Times New Roman;Times;Serif" w:hAnsi="Times New Roman;Times;Serif"/>
          <w:b/>
          <w:i w:val="false"/>
          <w:caps w:val="false"/>
          <w:smallCaps w:val="false"/>
          <w:sz w:val="20"/>
        </w:rPr>
        <w:t>ENFORCEABILITY OF CIVIL LIABILITIES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Service of process upon us and upon our directors and officers and the Cayman Islands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 42nd Street, 18th Floor, New York, New York 10168.</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Maples and Calder (Cayman) LLP,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public shareholders may have more difficulty in protecting their interests in the face of actions taken by management, members of the board of directors or controlling shareholders than they would as public shareholders of a U.S.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b_017"/>
      <w:bookmarkEnd w:id="33"/>
      <w:r>
        <w:rPr>
          <w:rFonts w:ascii="Times New Roman;Times;Serif" w:hAnsi="Times New Roman;Times;Serif"/>
          <w:b/>
          <w:i w:val="false"/>
          <w:caps w:val="false"/>
          <w:smallCaps w:val="false"/>
          <w:sz w:val="20"/>
        </w:rPr>
        <w:t>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statement of expenses in connection with the distribution of the securities registered.</w:t>
      </w:r>
    </w:p>
    <w:p>
      <w:pPr>
        <w:pStyle w:val="TextBody"/>
        <w:bidi w:val="0"/>
        <w:jc w:val="left"/>
        <w:rPr>
          <w:caps w:val="false"/>
          <w:smallCaps w:val="false"/>
        </w:rPr>
      </w:pPr>
      <w:r>
        <w:rPr>
          <w:caps w:val="false"/>
          <w:smallCaps w:val="false"/>
        </w:rPr>
        <w:t> </w:t>
      </w:r>
    </w:p>
    <w:tbl>
      <w:tblPr>
        <w:tblW w:w="4455" w:type="dxa"/>
        <w:jc w:val="left"/>
        <w:tblInd w:w="0" w:type="dxa"/>
        <w:tblLayout w:type="fixed"/>
        <w:tblCellMar>
          <w:top w:w="0" w:type="dxa"/>
          <w:left w:w="0" w:type="dxa"/>
          <w:bottom w:w="28" w:type="dxa"/>
          <w:right w:w="0" w:type="dxa"/>
        </w:tblCellMar>
      </w:tblPr>
      <w:tblGrid>
        <w:gridCol w:w="3605"/>
        <w:gridCol w:w="60"/>
        <w:gridCol w:w="125"/>
        <w:gridCol w:w="590"/>
        <w:gridCol w:w="75"/>
      </w:tblGrid>
      <w:tr>
        <w:trPr/>
        <w:tc>
          <w:tcPr>
            <w:tcW w:w="360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34,525</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accounting fees and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and transfer agent fees and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costs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fees and expenses are not presently known. If required, to be provided by a prospectus supplement or as an exhibit to a Report on Form 6-K that is incorporated by reference into this prospectus.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 w:name="b_018"/>
      <w:bookmarkEnd w:id="34"/>
      <w:r>
        <w:rPr>
          <w:rFonts w:ascii="Times New Roman;Times;Serif" w:hAnsi="Times New Roman;Times;Serif"/>
          <w:b/>
          <w:i w:val="false"/>
          <w:caps w:val="false"/>
          <w:smallCaps w:val="false"/>
          <w:sz w:val="20"/>
        </w:rPr>
        <w:t>INCORPORATION OF CERTAIN INFORMATION BY REFERENCE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the information we file with the SEC, which means that we can disclose important information to you by referring you to other documents filed separately with the SEC. The information incorporated by reference is considered to be part of this prospectus. Any information that we file later with the SEC and that is deemed incorporated by reference will automatically update and supersede the information in this prospectus.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will be deemed to incorporate by reference the following documents, except that we do not incorporate any document or portion of a document that was furnished and deemed by the rules of the SEC not to have been filed:</w:t>
      </w:r>
    </w:p>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6">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2025, filed with the SEC on May 15,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Reports on Form 6-K and Form 6-K/A furnished to the SEC on February 20, 2026 (including </w:t>
            </w:r>
            <w:hyperlink r:id="rId7">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thereto), March 17, 2026 (but excluding </w:t>
            </w:r>
            <w:hyperlink r:id="rId8">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thereto), June 4, 2026 (excluding </w:t>
            </w:r>
            <w:hyperlink r:id="rId9">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Exhibit 99.2</w:t>
              </w:r>
            </w:hyperlink>
            <w:r>
              <w:rPr>
                <w:rFonts w:ascii="Times New Roman;Times;Serif" w:hAnsi="Times New Roman;Times;Serif"/>
                <w:b w:val="false"/>
                <w:i w:val="false"/>
                <w:caps w:val="false"/>
                <w:smallCaps w:val="false"/>
                <w:sz w:val="20"/>
              </w:rPr>
              <w:t xml:space="preserve"> thereto), and June 29, 2026 (including </w:t>
            </w:r>
            <w:hyperlink r:id="rId11">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and </w:t>
            </w:r>
            <w:hyperlink r:id="rId12">
              <w:r>
                <w:rPr>
                  <w:rStyle w:val="InternetLink"/>
                  <w:rFonts w:ascii="Times New Roman;Times;Serif" w:hAnsi="Times New Roman;Times;Serif"/>
                  <w:b w:val="false"/>
                  <w:i w:val="false"/>
                  <w:caps w:val="false"/>
                  <w:smallCaps w:val="false"/>
                  <w:sz w:val="20"/>
                </w:rPr>
                <w:t>Exhibit 99.2</w:t>
              </w:r>
            </w:hyperlink>
            <w:r>
              <w:rPr>
                <w:rFonts w:ascii="Times New Roman;Times;Serif" w:hAnsi="Times New Roman;Times;Serif"/>
                <w:b w:val="false"/>
                <w:i w:val="false"/>
                <w:caps w:val="false"/>
                <w:smallCaps w:val="false"/>
                <w:sz w:val="20"/>
              </w:rPr>
              <w:t xml:space="preserve"> thereto);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securities contained in our registration statement on </w:t>
            </w:r>
            <w:hyperlink r:id="rId13">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May 13, 2025 and any amendment or report filed with the SEC for the purpose of updating the description;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reports on Form 6-K that we furnish to the SEC after the date of this prospectus that are identified in such reports as being incorporated by reference in this prospectus.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you should rely on the later information over different information included in this prospectus or any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We will provide without charge to each person, including any beneficial owner, to whom this prospectus is delivered, upon his or her written or oral request, a copy of any or all documents referred to above which have been or may be incorporated by reference into this prospectus. You may obtain a copy of these documents by writing to or telephoning us at the following address: K Wave Media Ltd., 121 South Church Street, George Town, Grand Cayman, KY1-1104 Cayman Islands, Attention: Investor Relations, and our telephone number at that address is +1 (703) 790-0717. Alternatively, copies of these documents are available via our website (www.kwavemedia.com/investors), or as described under “</w:t>
      </w:r>
      <w:hyperlink w:anchor="b_019">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val="false"/>
          <w:caps w:val="false"/>
          <w:smallCaps w:val="false"/>
          <w:sz w:val="20"/>
        </w:rPr>
        <w:t>” below. The information on our website is not incorporated by reference into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those documents.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herein shall be deemed to be modified or superseded for purposes of this prospectus to the extent that a statement contained herein, or in a subsequently filed document incorporated by reference herein, modifies or supersedes that statement. Any statement so modified or superseded shall not be deemed, except as so modified or superseded, to constitute part of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b_019"/>
      <w:bookmarkEnd w:id="35"/>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F-3 we filed with the SEC under the Securities Act, and does not contain all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from which you can electronically access the registration statement and its materials.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is www.kwavemedia.com. The information on our website, however, is not, and should not be deemed to be, a part of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certain of the requirements under the Exchange Act including, among other things, the rules prescribing the furnishing and content of proxy statements, and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$250,000,000</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Ordinary Shares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Preferred Shares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Debt Securities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Warrants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Rights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00756/000182912626005357/kwavemedia_20f.htm" TargetMode="External"/><Relationship Id="rId3" Type="http://schemas.openxmlformats.org/officeDocument/2006/relationships/hyperlink" Target="https://www.sec.gov/Archives/edgar/data/2000756/000182912625003630/kwavemedia_8a12b.htm" TargetMode="External"/><Relationship Id="rId4" Type="http://schemas.openxmlformats.org/officeDocument/2006/relationships/hyperlink" Target="https://www.sec.gov/ix?doc=/Archives/edgar/data/2000756/000182912626005357/kwavemedia_20f.htm" TargetMode="External"/><Relationship Id="rId5" Type="http://schemas.openxmlformats.org/officeDocument/2006/relationships/hyperlink" Target="https://www.sec.gov/ix?doc=/Archives/edgar/data/2000756/000182912626006994/kwavemedia_6ka.htm" TargetMode="External"/><Relationship Id="rId6" Type="http://schemas.openxmlformats.org/officeDocument/2006/relationships/hyperlink" Target="https://www.sec.gov/ix?doc=/Archives/edgar/data/2000756/000182912626005357/kwavemedia_20f.htm" TargetMode="External"/><Relationship Id="rId7" Type="http://schemas.openxmlformats.org/officeDocument/2006/relationships/hyperlink" Target="https://www.sec.gov/Archives/edgar/data/2000756/000182912626001496/kwavemedia_ex99-1.htm" TargetMode="External"/><Relationship Id="rId8" Type="http://schemas.openxmlformats.org/officeDocument/2006/relationships/hyperlink" Target="https://www.sec.gov/Archives/edgar/data/2000756/000182912626002393/kwavemedia_ex99-1.htm" TargetMode="External"/><Relationship Id="rId9" Type="http://schemas.openxmlformats.org/officeDocument/2006/relationships/hyperlink" Target="https://www.sec.gov/Archives/edgar/data/2000756/000182912626006041/kwavemedia_ex99-1.htm" TargetMode="External"/><Relationship Id="rId10" Type="http://schemas.openxmlformats.org/officeDocument/2006/relationships/hyperlink" Target="https://www.sec.gov/Archives/edgar/data/2000756/000182912626006041/kwavemedia_ex99-2.htm" TargetMode="External"/><Relationship Id="rId11" Type="http://schemas.openxmlformats.org/officeDocument/2006/relationships/hyperlink" Target="https://www.sec.gov/Archives/edgar/data/2000756/000182912626006994/kwavemedia_ex99-1.htm" TargetMode="External"/><Relationship Id="rId12" Type="http://schemas.openxmlformats.org/officeDocument/2006/relationships/hyperlink" Target="https://www.sec.gov/ix?doc=/Archives/edgar/data/2000756/000182912626006994/kwavemedia_ex99-2.htm" TargetMode="External"/><Relationship Id="rId13" Type="http://schemas.openxmlformats.org/officeDocument/2006/relationships/hyperlink" Target="https://www.sec.gov/Archives/edgar/data/2000756/000182912625003630/kwavemedia_8a12b.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34041</Words>
  <Characters>179374</Characters>
  <CharactersWithSpaces>213477</CharactersWithSpaces>
  <Paragraphs>2120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