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001-42648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K WAVE MEDIA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 Maples Corporate Services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 Box 309, Ugland House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Grand Cayman, KY1-1104</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(703) 790-0717</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K Wave Aligns with $50 Billion Asset Manager IGIS to Accelerate AI Infrastructure Strategy: Targets Over $2 Billion in Deployment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5, 2026, K Wave Media Ltd. (the “Company”) issued a press release announcing the execution of a Strategic Partnership Agreement (the “Strategic Partnership Agreement”) with IGIS Global Properties, LLC, a wholly owned subsidiary of IGIS Asset Management, Co., Ltd.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Current Report on Form 6-K and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Strategic Partnership Agreement is attached as Exhibit 99.2 to this Current Report on Form 6-K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6-K Report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including those set forth in any subsequent filings with the U.S. Securities and Exchange Commission (the “SEC”). Copies of the Company’s filings with the SEC are available on the SEC’s website, www.sec.gov. The Company expressly disclaims any obligations or undertaking to release publicly any updates or revisions to any forward-looking statements to reflect any change in the Company’s expectations or any change in events, conditions or circumstances on which any statement is based.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620" w:type="dxa"/>
            <w:vAlign w:val="bottom"/>
            <w:gridSpan w:val="2"/>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auto"/>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rPr>
              <w:t>Press Release dated May 5, 2026</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0000EE"/>
            </w:tcBorders>
            <w:shd w:val="clear" w:color="auto" w:fill="CCEEFF"/>
          </w:tcPr>
          <w:p>
            <w:pPr>
              <w:spacing w:after="0" w:line="20" w:lineRule="exact"/>
              <w:rPr>
                <w:sz w:val="1"/>
                <w:szCs w:val="1"/>
                <w:color w:val="auto"/>
              </w:rPr>
            </w:pPr>
          </w:p>
        </w:tc>
        <w:tc>
          <w:tcPr>
            <w:tcW w:w="6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5"/>
                <w:szCs w:val="15"/>
                <w:color w:val="auto"/>
              </w:rPr>
            </w:pPr>
          </w:p>
        </w:tc>
        <w:tc>
          <w:tcPr>
            <w:tcW w:w="100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EE"/>
              </w:rPr>
              <w:t>Strategic Partnership Agreement, dated April 30, 2026, by and between K Wave Media Ltd. and IGIS Global Properties LLC</w:t>
            </w:r>
          </w:p>
        </w:tc>
      </w:tr>
      <w:tr>
        <w:trPr>
          <w:trHeight w:val="581"/>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20" w:type="dxa"/>
            <w:vAlign w:val="bottom"/>
            <w:tcBorders>
              <w:top w:val="single" w:sz="8" w:color="0000EE"/>
              <w:bottom w:val="single" w:sz="8" w:color="auto"/>
            </w:tcBorders>
            <w:gridSpan w:val="2"/>
          </w:tcPr>
          <w:p>
            <w:pPr>
              <w:jc w:val="right"/>
              <w:ind w:right="451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Ted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Ted Kim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 Wave Aligns with $50 Billion Asset Manager IGIS to Accelerate AI Infrastructure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Strategy: Targets Over $2 Billion in Deployment</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May 5, 2026 — </w:t>
      </w:r>
      <w:r>
        <w:rPr>
          <w:rFonts w:ascii="Times New Roman" w:cs="Times New Roman" w:eastAsia="Times New Roman" w:hAnsi="Times New Roman"/>
          <w:sz w:val="18"/>
          <w:szCs w:val="18"/>
          <w:color w:val="auto"/>
        </w:rPr>
        <w:t>K Wave Ltd. (“KWM” or the “Company”) today announced that it has entered into a Strategic Partnership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IGIS Global Properties LLC (“IGIS Global”), a U.S.-based subsidiary of IGIS Asset Management Co., Ltd., a global real assets manager with over $50 billion under management.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is designed to support the deployment of up to $2 billion into AI infrastructure opportunities over the next twenty four months, positioning KWM to scale its recently announced transformation into an AI infrastructure-focused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Positioning for the AI Infrastructure Supercycle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 demand for AI compute capacity continues to accelerate, driven by the rapid adoption of generative AI, large language models, and enterprise AI applications. At the same time, infrastructure supply, including data centers, GPU capacity, and power availability, remains constrained.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KWM believes this supply-demand imbalance represents one of the most significant investment opportunities in technology infrastructure today. Through its partnership with IGIS Global, the Company intends to rapidly deploy capital into scalable, high-demand infrastructure assets across the AI ecosystem.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Highlights</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Institutional Sourcing &amp; Execution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IGIS Global will leverage the broader IGIS platform to source and evaluate AI infrastructure and data center opportunities across the United States and internationally, bringing institutional-grade underwriting and global deal flow.</w:t>
      </w:r>
    </w:p>
    <w:p>
      <w:pPr>
        <w:spacing w:after="0" w:line="15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Operator Partnerships Across the AI Stack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KWM and IGIS Global expect to jointly partner with the “best-in-class” operators across the AI infrastructure value chain, including data center developers, GPU compute providers, and power and cooling infrastructure providers.</w:t>
      </w:r>
    </w:p>
    <w:p>
      <w:pPr>
        <w:spacing w:after="0" w:line="15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Aligned Co-Investment Framework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IGIS Global is expected to co-invest, or participate as a limited partner in, KWM led SPC or funds in select opportunities, providing aligned institutional capital and reinforcing disciplined capital deployment.</w:t>
      </w:r>
    </w:p>
    <w:p>
      <w:pPr>
        <w:spacing w:after="0" w:line="15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Scaled Deployment Strategy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partnership with IGIS will target up to $2 billion in AI infrastructure deployment over the next 24 months, subject to the identification of projects and standard approvals.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Momentum and Capital Raising Platform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partnership builds on KWM’s previously announced strategic transformation, which includes access to up to $485 million in committed capital through its financing agreement with Anson Funds. Supported by the existing commitment and the planned elimination of approximately $48 million in liabilities through its divestiture of KWM’s subsidiary, Play Co., Ltd., KWM’s partnership with IGIS is expected to position KWM as a capital-efficient, public-market platform focused on acquiring and scaling AI infrastructure assets efficiently and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partnership with IGIS Global provides the institutional backbone to execute our AI infrastructure strategy at scale,” said Ted Kim, Chief Executive Officer of K Wave Media.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“IGIS Global brings deep experience in global real assets and data center investments, along with sharing of its existing pipeline data center projects. Most importantly, it provides opportunities to further strengthen KWM’s AI infrastructure strategy through IGIS’ collaboration with global leaders in AI and data center operations. We are building a scalable AI infrastructure platform backed by institutional capital and global sourcing capabilities,” Mr. Kim added. “Our goal is to move quickly and position KWM as a leading public-market vehicle for AI infrastructure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IGIS Commentary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pleased to partner with K Wave as it builds a scalable platform focused on AI infrastructure,” said Sunho Song, CEO and Managing Member of IGIS Global.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“Demand for high-quality data center and compute infrastructure continues to grow globally, and we believe this partnership combines KWM’s capital markets platform with IGIS’s experience in sourcing, underwriting, and managing real assets. Together, we see a compelling opportunity to deploy capital into infrastructure assets with strong long-term fundamentals.” We have successfully built hyperscale data centers in Korea and would like to replicate our success in the U.S. and international markets in partnership with KWM.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 Wave Media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 Wave Media Ltd. is a Nasdaq-listed company undergoing a strategic transformation toward AI infrastructure investments, including data centers, compute resources, and AI-related technologies. Subject to shareholder approval at the Company’s upcoming annual meeting, expected in early July 2026, KWM intends to rebrand as Talivar Technologies.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IGIS Global Properties LLC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IGIS Global Properties LLC is a U.S.-based subsidiary of IGIS Asset Management Co., Ltd., a global real assets investment platform with over $50 billion in assets under management and extensive experience in data center and infrastructure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27A of the Securities Act of 1933, as amended, and Section 21E of the Securities Exchange Act of 1934, as amended.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forward-looking.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regarding estimates and forecasts of other performance metrics and projections of market opportunity. These statements are based on various assumptions, whether or not identified in this communication, and on the current expectations of KWM’s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KWM. Some important factors that could cause actual results to differ materially from those in any forward-looking statements could include changes in domestic and foreign business, market, financial, political, and legal conditions.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these risks materialize or KWM’s assumptions prove incorrect, actual results could differ materially from the results implied by these forward-looking statements. There may be additional risks that KWM does not presently know, or that KWM currently believes are immaterial, that could also cause actual results to differ from those contained in the forward-looking statements. In addition, forward-looking statements reflect KWM’s current expectations, plans, and forecasts of future events and views as of the date hereof.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in this communication, which speak only as of the date they are made and are qualified in their entirety by reference to the cautionary statements herein and the risk factors of KWM described in KWM’s Form 20-F initially filed with the SEC on May 14, 2025, as amended, including those under “Risk Factors” therein. KWM anticipates that subsequent events and developments will cause its assessments to change. However, while KWM may elect to update these forward-looking statements at some point in the future, KWM specifically disclaims any obligation to do so, except as required by law. These forward-looking statements should not be relied upon as representing KWM’s assessments as of any date subsequent to the date of this communication. Accordingly, undue reliance should not be placed upon the forward-looking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info@kwavemedia.com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info@redroosterpr.com</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32"/>
          <w:szCs w:val="32"/>
          <w:b w:val="1"/>
          <w:bCs w:val="1"/>
          <w:color w:val="auto"/>
        </w:rPr>
        <w:t>Strategic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K Wave Media Ltd (“KWM”)</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IGIS Global Properties LLC (“IGIS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913765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Strategic Partnership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Strategic Partnership Agreement (this “Agreement”) is entered into as of 30, April 2026 (the “Effective Date”), by and between:</w:t>
      </w:r>
    </w:p>
    <w:p>
      <w:pPr>
        <w:spacing w:after="0" w:line="22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 Wave Media, Ltd., a Nasdaq-listed company (“</w:t>
      </w:r>
      <w:r>
        <w:rPr>
          <w:rFonts w:ascii="Times New Roman" w:cs="Times New Roman" w:eastAsia="Times New Roman" w:hAnsi="Times New Roman"/>
          <w:sz w:val="18"/>
          <w:szCs w:val="18"/>
          <w:b w:val="1"/>
          <w:bCs w:val="1"/>
          <w:color w:val="auto"/>
        </w:rPr>
        <w:t>KWM</w:t>
      </w:r>
      <w:r>
        <w:rPr>
          <w:rFonts w:ascii="Times New Roman" w:cs="Times New Roman" w:eastAsia="Times New Roman" w:hAnsi="Times New Roman"/>
          <w:sz w:val="18"/>
          <w:szCs w:val="18"/>
          <w:color w:val="auto"/>
        </w:rPr>
        <w:t>”), and</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IGIS Global Properties, LLC (“IGIS Global”), a wholly owned subsidiary of IGIS Asset Management, Co., Ltd.(“IGIS”) (together with KWM, the “Parties”).</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IGIS Global is a US-based investment and development arm of IGIS Asset Management, a leading South Korea-based real estate and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equity asset manager with over </w:t>
      </w:r>
      <w:r>
        <w:rPr>
          <w:rFonts w:ascii="Times New Roman" w:cs="Times New Roman" w:eastAsia="Times New Roman" w:hAnsi="Times New Roman"/>
          <w:sz w:val="18"/>
          <w:szCs w:val="18"/>
          <w:b w:val="1"/>
          <w:bCs w:val="1"/>
          <w:color w:val="auto"/>
        </w:rPr>
        <w:t>$50 billion</w:t>
      </w:r>
      <w:r>
        <w:rPr>
          <w:rFonts w:ascii="Times New Roman" w:cs="Times New Roman" w:eastAsia="Times New Roman" w:hAnsi="Times New Roman"/>
          <w:sz w:val="18"/>
          <w:szCs w:val="18"/>
          <w:color w:val="auto"/>
        </w:rPr>
        <w:t xml:space="preserve"> in assets under management, including significant investments in data centers and strategic partnership with global data center operators/users;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IGIS Global, as IGIS’s wholly owned U.S. platform, is focused on expanding its footprint in the U.S., including data centers and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investments globally;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KWM is undertaking a strategic transformation toward AI and AI infrastructure, including investments in data centers, GPU/CPU compute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and related platforms;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establish a strategic partnership to collaborate on sourcing, investing in, and developing AI infrastructure opportunities;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Partnership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shall collaborate in good faith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IGIS Global will</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evaluate investment opportunities in data centers and other AI infrastructure projects in the United States and overseas for a sole purpose of investing with KWM;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partner up with the best-in-class operators capable of developing data centers and AI infrastructure projects in the United States and/or overseas;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Co-develop or co-invest in selected opportunities together with KWM; 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KWM will</w:t>
      </w:r>
    </w:p>
    <w:p>
      <w:pPr>
        <w:spacing w:after="0" w:line="229"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 with IGIS Global in underwriting such opportunities and establish project-specific joint venture entities (SPVs/SPCs), where appropriate, to execute such investments together with IGIS Global.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opportunities in acquiring shares of the existing AI infrastructure-focused Operating Companies to further strengthen the JV growth.</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 w:name="page9"/>
    <w:bookmarkEnd w:id="8"/>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Collaboration Framework</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to align capital deployment strategies in AI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internal approvals, market conditions, and deal-specific underwriting:</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KWM plans to allocate up to $485 million from the already-committed capital by Anson Funds and raise up to $1 billion over the next 24 months through a partnership with IGIS;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IGIS Global will seek to participate alongside KWM and may match, co-invest, or become a limited partner in such opportunities on a case-by-case basis, potentially enabling aggregate </w:t>
      </w:r>
      <w:r>
        <w:rPr>
          <w:rFonts w:ascii="Times New Roman" w:cs="Times New Roman" w:eastAsia="Times New Roman" w:hAnsi="Times New Roman"/>
          <w:sz w:val="18"/>
          <w:szCs w:val="18"/>
          <w:b w:val="1"/>
          <w:bCs w:val="1"/>
          <w:color w:val="auto"/>
        </w:rPr>
        <w:t>capital deployment of up to $2 billion</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Areas of Cooperation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acquisition, and operation of hyperscale, colocation, and AI-optimized data centers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and operation of GPU/CPU infrastructure, including leasing and compute-as-a-service models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Infrastructure Ecosystem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critical components of the AI infrastructure value chain, including power, cooling, networking, and enabling technologies</w:t>
      </w:r>
    </w:p>
    <w:p>
      <w:pPr>
        <w:spacing w:after="0" w:line="22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Value Exchange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IGIS Global: Provide expertise in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center development and asset management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structuring and institutional capital raising</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obtaining the best operators for various AI infrastructure projects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KWM: Provide expertise in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U.S. public capital markets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financing structures (including equity-linked strategies)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positioning within emerging AI infrastructure markets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The result of the above will, in effect, be the setup of an </w:t>
      </w:r>
      <w:r>
        <w:rPr>
          <w:rFonts w:ascii="Times New Roman" w:cs="Times New Roman" w:eastAsia="Times New Roman" w:hAnsi="Times New Roman"/>
          <w:sz w:val="18"/>
          <w:szCs w:val="18"/>
          <w:b w:val="1"/>
          <w:bCs w:val="1"/>
          <w:color w:val="auto"/>
        </w:rPr>
        <w:t>AI infrastructure platform</w:t>
      </w:r>
      <w:r>
        <w:rPr>
          <w:rFonts w:ascii="Times New Roman" w:cs="Times New Roman" w:eastAsia="Times New Roman" w:hAnsi="Times New Roman"/>
          <w:sz w:val="18"/>
          <w:szCs w:val="18"/>
          <w:color w:val="auto"/>
        </w:rPr>
        <w:t xml:space="preserve"> where each party makes its own contributions and shares the results together.</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Governance &amp; Process</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may establish a joint working group to review and advance opportunities;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retains independent investment discretion;</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and Non-Binding 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Sections 1-4 are binding, although any final commitments are subject to internal approval of both parties. Other sections of this Agreement reflect the Parties’ current intentions only and do not create legally binding obligations to consummate any transaction.</w:t>
      </w:r>
    </w:p>
    <w:p>
      <w:pPr>
        <w:spacing w:after="0" w:line="15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shall remain in effect for 36 months, unless earlier terminated by either Party upon written notice.</w:t>
      </w:r>
    </w:p>
    <w:p>
      <w:pPr>
        <w:spacing w:after="0" w:line="22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 Disclosure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Parties may mutually agree to public announcements, including press releases or regulatory disclosures (including Form 6-K), regarding this strategic relationship.</w:t>
      </w:r>
    </w:p>
    <w:p>
      <w:pPr>
        <w:spacing w:after="0" w:line="158"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create a partnership or joint venture except as may be established in definitive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bears its own costs unless otherwise agreed.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as of the day and year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Ted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Ted Kim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IGIS Global Properties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SunHo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SunHo Song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Operating Officer</w:t>
      </w:r>
    </w:p>
    <w:p>
      <w:pPr>
        <w:spacing w:after="0" w:line="3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7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9">
    <w:nsid w:val="3352255A"/>
    <w:multiLevelType w:val="hybridMultilevel"/>
    <w:lvl w:ilvl="0">
      <w:lvlJc w:val="left"/>
      <w:lvlText w:val="(%1)"/>
      <w:numFmt w:val="lowerLetter"/>
      <w:start w:val="1"/>
    </w:lvl>
    <w:lvl w:ilvl="1">
      <w:lvlJc w:val="left"/>
      <w:lvlText w:val="●"/>
      <w:numFmt w:val="bullet"/>
      <w:start w:val="1"/>
    </w:lvl>
  </w:abstractNum>
  <w:abstractNum w:abstractNumId="10">
    <w:nsid w:val="109CF92E"/>
    <w:multiLevelType w:val="hybridMultilevel"/>
    <w:lvl w:ilvl="0">
      <w:lvlJc w:val="left"/>
      <w:lvlText w:val="%1."/>
      <w:numFmt w:val="decimal"/>
      <w:start w:val="4"/>
    </w:lvl>
  </w:abstractNum>
  <w:abstractNum w:abstractNumId="11">
    <w:nsid w:val="DED7263"/>
    <w:multiLevelType w:val="hybridMultilevel"/>
    <w:lvl w:ilvl="0">
      <w:lvlJc w:val="left"/>
      <w:lvlText w:val="●"/>
      <w:numFmt w:val="bullet"/>
      <w:start w:val="1"/>
    </w:lvl>
    <w:lvl w:ilvl="1">
      <w:lvlJc w:val="left"/>
      <w:lvlText w:val="○"/>
      <w:numFmt w:val="bullet"/>
      <w:start w:val="1"/>
    </w:lvl>
  </w:abstractNum>
  <w:abstractNum w:abstractNumId="12">
    <w:nsid w:val="7FDCC233"/>
    <w:multiLevelType w:val="hybridMultilevel"/>
    <w:lvl w:ilvl="0">
      <w:lvlJc w:val="left"/>
      <w:lvlText w:val="%1."/>
      <w:numFmt w:val="decimal"/>
      <w:start w:val="5"/>
    </w:lvl>
    <w:lvl w:ilvl="1">
      <w:lvlJc w:val="left"/>
      <w:lvlText w:val="●"/>
      <w:numFmt w:val="bullet"/>
      <w:start w:val="1"/>
    </w:lvl>
  </w:abstractNum>
  <w:abstractNum w:abstractNumId="13">
    <w:nsid w:val="1BEFD79F"/>
    <w:multiLevelType w:val="hybridMultilevel"/>
    <w:lvl w:ilvl="0">
      <w:lvlJc w:val="left"/>
      <w:lvlText w:val="%1."/>
      <w:numFmt w:val="decimal"/>
      <w:start w:val="7"/>
    </w:lvl>
  </w:abstractNum>
  <w:abstractNum w:abstractNumId="14">
    <w:nsid w:val="41A7C4C9"/>
    <w:multiLevelType w:val="hybridMultilevel"/>
    <w:lvl w:ilvl="0">
      <w:lvlJc w:val="left"/>
      <w:lvlText w:val="%1."/>
      <w:numFmt w:val="decimal"/>
      <w:start w:val="8"/>
    </w:lvl>
  </w:abstractNum>
  <w:abstractNum w:abstractNumId="15">
    <w:nsid w:val="6B68079A"/>
    <w:multiLevelType w:val="hybridMultilevel"/>
    <w:lvl w:ilvl="0">
      <w:lvlJc w:val="left"/>
      <w:lvlText w:val="%1."/>
      <w:numFmt w:val="decimal"/>
      <w:start w:val="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2026-05-05T08:01:07Z</dcterms:created>
  <dcterms:modified xsi:type="dcterms:W3CDTF">2026-05-05T08:01:07Z</dcterms:modified>
</cp:coreProperties>
</file>