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30, 2026.</w:t>
      </w:r>
    </w:p>
    <w:p>
      <w:pPr>
        <w:spacing w:after="0" w:line="225" w:lineRule="exact"/>
        <w:rPr>
          <w:sz w:val="24"/>
          <w:szCs w:val="24"/>
          <w:color w:val="auto"/>
        </w:rPr>
      </w:pPr>
    </w:p>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F-3</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K WAVE MEDIA LTD.</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20" w:type="dxa"/>
            <w:vAlign w:val="bottom"/>
            <w:gridSpan w:val="4"/>
          </w:tcPr>
          <w:p>
            <w:pPr>
              <w:jc w:val="center"/>
              <w:ind w:right="413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7340" w:type="dxa"/>
            <w:vAlign w:val="bottom"/>
            <w:gridSpan w:val="5"/>
          </w:tcPr>
          <w:p>
            <w:pPr>
              <w:jc w:val="center"/>
              <w:ind w:right="3810"/>
              <w:spacing w:after="0"/>
              <w:rPr>
                <w:sz w:val="20"/>
                <w:szCs w:val="20"/>
                <w:color w:val="auto"/>
              </w:rPr>
            </w:pPr>
            <w:r>
              <w:rPr>
                <w:rFonts w:ascii="Times New Roman" w:cs="Times New Roman" w:eastAsia="Times New Roman" w:hAnsi="Times New Roman"/>
                <w:sz w:val="18"/>
                <w:szCs w:val="18"/>
                <w:color w:val="auto"/>
                <w:w w:val="99"/>
              </w:rPr>
              <w:t>(Translation of registrant’s name into English)</w:t>
            </w:r>
          </w:p>
        </w:tc>
        <w:tc>
          <w:tcPr>
            <w:tcW w:w="0" w:type="dxa"/>
            <w:vAlign w:val="bottom"/>
          </w:tcPr>
          <w:p>
            <w:pPr>
              <w:spacing w:after="0"/>
              <w:rPr>
                <w:sz w:val="1"/>
                <w:szCs w:val="1"/>
                <w:color w:val="auto"/>
              </w:rPr>
            </w:pPr>
          </w:p>
        </w:tc>
      </w:tr>
      <w:tr>
        <w:trPr>
          <w:trHeight w:val="216"/>
        </w:trPr>
        <w:tc>
          <w:tcPr>
            <w:tcW w:w="3900" w:type="dxa"/>
            <w:vAlign w:val="bottom"/>
            <w:vMerge w:val="restart"/>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3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4220" w:type="dxa"/>
            <w:vAlign w:val="bottom"/>
            <w:vMerge w:val="restart"/>
          </w:tcPr>
          <w:p>
            <w:pPr>
              <w:jc w:val="center"/>
              <w:ind w:right="117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0" w:type="dxa"/>
            <w:vAlign w:val="bottom"/>
          </w:tcPr>
          <w:p>
            <w:pPr>
              <w:spacing w:after="0"/>
              <w:rPr>
                <w:sz w:val="1"/>
                <w:szCs w:val="1"/>
                <w:color w:val="auto"/>
              </w:rPr>
            </w:pPr>
          </w:p>
        </w:tc>
      </w:tr>
      <w:tr>
        <w:trPr>
          <w:trHeight w:val="439"/>
        </w:trPr>
        <w:tc>
          <w:tcPr>
            <w:tcW w:w="390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900" w:type="dxa"/>
            <w:vAlign w:val="bottom"/>
          </w:tcPr>
          <w:p>
            <w:pPr>
              <w:jc w:val="center"/>
              <w:ind w:left="149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220" w:type="dxa"/>
            <w:vAlign w:val="bottom"/>
          </w:tcPr>
          <w:p>
            <w:pPr>
              <w:jc w:val="center"/>
              <w:ind w:right="1230"/>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34"/>
        </w:trPr>
        <w:tc>
          <w:tcPr>
            <w:tcW w:w="390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2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Identification Number)</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121 South Church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George Town, Grand Cayman,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KY1-1104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703-790-0717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East 42nd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Andrew M. Tucker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Duane Morris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901 New York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N.W., Suite 700 East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20001-4795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(202) 776-5248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 From time to time after the effectiveness of this registration statement.</w:t>
      </w:r>
    </w:p>
    <w:p>
      <w:pPr>
        <w:spacing w:after="0" w:line="18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66" w:lineRule="exact"/>
        <w:rPr>
          <w:sz w:val="20"/>
          <w:szCs w:val="20"/>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w:t>
      </w:r>
    </w:p>
    <w:p>
      <w:pPr>
        <w:spacing w:after="0" w:line="184"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396" w:lineRule="exact"/>
        <w:rPr>
          <w:sz w:val="20"/>
          <w:szCs w:val="20"/>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525780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June 30,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K Wave Media Ltd.</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$250,000,000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 Wave Media Ltd. (“we,” “us,” “our,” “K Wave” or the “Company”) may offer and sell up to $250,000,000 in the aggregate of our ordinary shares, par value $0.0001 per share (“Ordinary Shares”), preferred shares, par value $0.0001 per share (“preferred shares”), debt securities, warrants to subscribe for Ordinary Shares, rights to subscribe for Ordinary Shares and units consisting of any combination of the other types of securities offered under this prospectus from time to time in one or more offerings.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General Instruction I.B.5. of Form F-3, in no event will we sell the securities covered hereby in a public primary offering with a value exceeding more than one-third of the aggregate market value of our Ordinary Shares in any 12-month period so long as the aggregate market value of our issued and outstanding Ordinary Shares held by non-affiliates, or our public float, remains below $75 million. As of the date of this prospectus, our public float was below $75 million. During the 12 calendar months prior to and including the date of this prospectus, we have not offered or sold any securities pursuant to General Instruction I.B.5 of Form F-3.</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This prospectus may not be used to sell our securities unless accompanied by a prospectus supplement.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add, update or change the information contained in this prospectus from time to time by incorporating by reference any document or filing a prospectus supplement, as required. You should read this entire prospectus, together with the documents we incorporate by reference, and any applicable prospectus supplement carefully before you make your investment decision.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agents or other third parties, or directly to purchasers, or through a combination of these methods. If any third parties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w:t>
      </w:r>
      <w:r>
        <w:rPr>
          <w:rFonts w:ascii="Times New Roman" w:cs="Times New Roman" w:eastAsia="Times New Roman" w:hAnsi="Times New Roman"/>
          <w:sz w:val="18"/>
          <w:szCs w:val="18"/>
          <w:i w:val="1"/>
          <w:iCs w:val="1"/>
          <w:u w:val="single" w:color="auto"/>
          <w:color w:val="0000EE"/>
        </w:rPr>
        <w:t>About this Prospectus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u w:val="single" w:color="auto"/>
          <w:color w:val="0000EE"/>
        </w:rPr>
        <w:t>Plan of Distribution</w:t>
      </w:r>
      <w:r>
        <w:rPr>
          <w:rFonts w:ascii="Times New Roman" w:cs="Times New Roman" w:eastAsia="Times New Roman" w:hAnsi="Times New Roman"/>
          <w:sz w:val="18"/>
          <w:szCs w:val="18"/>
          <w:color w:val="auto"/>
        </w:rPr>
        <w:t>” for more information.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Ordinary Shares and our public warrants are traded on the Nasdaq Stock Market LLC (“Nasdaq”) under the symbols “KWM” and “KWMWW”, respectively. On June 29, 2026, the closing price of our Ordinary Shares and our public warrants on Nasdaq were $0.1640 per share and $0.0169 per public warrant, respectively.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both an “emerging growth company” and a “foreign private issuer” as defined under the U.S. federal securities laws and, as such, may elect to comply with certain reduced public company disclosure and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114300</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SEE THE “RISK FACTORS” ON PAGE 14 OF THIS PROSPECTUS AND ANY SIMILAR SECTION CONTAINED IN THE APPLICABLE PROSPECTUS SUPPLEMENT CONCERNING FACTORS YOU SHOULD CONSIDER BEFORE INVESTING IN OUR SECURITIES.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5" w:lineRule="exact"/>
        <w:rPr>
          <w:sz w:val="20"/>
          <w:szCs w:val="20"/>
          <w:color w:val="auto"/>
        </w:rPr>
      </w:pPr>
    </w:p>
    <w:p>
      <w:pPr>
        <w:ind w:left="3940"/>
        <w:spacing w:after="0"/>
        <w:tabs>
          <w:tab w:leader="none" w:pos="7240" w:val="left"/>
        </w:tabs>
        <w:rPr>
          <w:sz w:val="20"/>
          <w:szCs w:val="20"/>
          <w:color w:val="auto"/>
        </w:rPr>
      </w:pPr>
      <w:r>
        <w:rPr>
          <w:rFonts w:ascii="Times New Roman" w:cs="Times New Roman" w:eastAsia="Times New Roman" w:hAnsi="Times New Roman"/>
          <w:sz w:val="18"/>
          <w:szCs w:val="18"/>
          <w:b w:val="1"/>
          <w:bCs w:val="1"/>
          <w:color w:val="auto"/>
        </w:rPr>
        <w:t>The date of this prospectus is</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60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40" w:type="dxa"/>
            <w:vAlign w:val="bottom"/>
          </w:tcPr>
          <w:p>
            <w:pPr>
              <w:spacing w:after="0"/>
              <w:rPr>
                <w:sz w:val="17"/>
                <w:szCs w:val="17"/>
                <w:color w:val="auto"/>
              </w:rPr>
            </w:pPr>
          </w:p>
        </w:tc>
      </w:tr>
      <w:tr>
        <w:trPr>
          <w:trHeight w:val="560"/>
        </w:trPr>
        <w:tc>
          <w:tcPr>
            <w:tcW w:w="6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8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40" w:type="dxa"/>
            <w:vAlign w:val="bottom"/>
          </w:tcPr>
          <w:p>
            <w:pPr>
              <w:spacing w:after="0"/>
              <w:rPr>
                <w:sz w:val="24"/>
                <w:szCs w:val="24"/>
                <w:color w:val="auto"/>
              </w:rPr>
            </w:pPr>
          </w:p>
        </w:tc>
      </w:tr>
      <w:tr>
        <w:trPr>
          <w:trHeight w:val="216"/>
        </w:trPr>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360" w:type="dxa"/>
            <w:vAlign w:val="bottom"/>
            <w:tcBorders>
              <w:bottom w:val="single" w:sz="8" w:color="CCEEFF"/>
            </w:tcBorders>
            <w:gridSpan w:val="11"/>
            <w:shd w:val="clear" w:color="auto" w:fill="CCEEFF"/>
          </w:tcPr>
          <w:p>
            <w:pPr>
              <w:spacing w:after="0"/>
              <w:rPr>
                <w:sz w:val="17"/>
                <w:szCs w:val="17"/>
                <w:color w:val="auto"/>
              </w:rPr>
            </w:pPr>
          </w:p>
        </w:tc>
        <w:tc>
          <w:tcPr>
            <w:tcW w:w="264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860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64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32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OUR COMPANY</w:t>
            </w:r>
          </w:p>
        </w:tc>
        <w:tc>
          <w:tcPr>
            <w:tcW w:w="7280" w:type="dxa"/>
            <w:vAlign w:val="bottom"/>
            <w:tcBorders>
              <w:bottom w:val="single" w:sz="8" w:color="CCEEFF"/>
            </w:tcBorders>
            <w:gridSpan w:val="19"/>
            <w:shd w:val="clear" w:color="auto" w:fill="CCEEFF"/>
          </w:tcPr>
          <w:p>
            <w:pPr>
              <w:spacing w:after="0"/>
              <w:rPr>
                <w:sz w:val="17"/>
                <w:szCs w:val="17"/>
                <w:color w:val="auto"/>
              </w:rPr>
            </w:pPr>
          </w:p>
        </w:tc>
        <w:tc>
          <w:tcPr>
            <w:tcW w:w="264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5"/>
        </w:trPr>
        <w:tc>
          <w:tcPr>
            <w:tcW w:w="860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2640" w:type="dxa"/>
            <w:vAlign w:val="bottom"/>
          </w:tcPr>
          <w:p>
            <w:pPr>
              <w:jc w:val="center"/>
              <w:ind w:left="157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
        </w:trPr>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76"/>
        </w:trPr>
        <w:tc>
          <w:tcPr>
            <w:tcW w:w="86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640" w:type="dxa"/>
            <w:vAlign w:val="bottom"/>
            <w:shd w:val="clear" w:color="auto" w:fill="CCEEFF"/>
          </w:tcPr>
          <w:p>
            <w:pPr>
              <w:jc w:val="center"/>
              <w:ind w:left="157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0"/>
        </w:trPr>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0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CAPITAL AND ARTICLES OF ASSOCIATION</w:t>
            </w:r>
          </w:p>
        </w:tc>
        <w:tc>
          <w:tcPr>
            <w:tcW w:w="2640" w:type="dxa"/>
            <w:vAlign w:val="bottom"/>
          </w:tcPr>
          <w:p>
            <w:pPr>
              <w:jc w:val="center"/>
              <w:ind w:left="157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326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PREFERRED SHARES</w:t>
            </w:r>
          </w:p>
        </w:tc>
        <w:tc>
          <w:tcPr>
            <w:tcW w:w="5340" w:type="dxa"/>
            <w:vAlign w:val="bottom"/>
            <w:tcBorders>
              <w:bottom w:val="single" w:sz="8" w:color="CCEEFF"/>
            </w:tcBorders>
            <w:gridSpan w:val="8"/>
            <w:shd w:val="clear" w:color="auto" w:fill="CCEEFF"/>
          </w:tcPr>
          <w:p>
            <w:pPr>
              <w:spacing w:after="0"/>
              <w:rPr>
                <w:sz w:val="17"/>
                <w:szCs w:val="17"/>
                <w:color w:val="auto"/>
              </w:rPr>
            </w:pPr>
          </w:p>
        </w:tc>
        <w:tc>
          <w:tcPr>
            <w:tcW w:w="2640" w:type="dxa"/>
            <w:vAlign w:val="bottom"/>
            <w:tcBorders>
              <w:bottom w:val="single" w:sz="8" w:color="CCEEFF"/>
            </w:tcBorders>
            <w:shd w:val="clear" w:color="auto" w:fill="CCEEFF"/>
          </w:tcPr>
          <w:p>
            <w:pPr>
              <w:jc w:val="center"/>
              <w:ind w:left="157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5"/>
        </w:trPr>
        <w:tc>
          <w:tcPr>
            <w:tcW w:w="860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2640" w:type="dxa"/>
            <w:vAlign w:val="bottom"/>
          </w:tcPr>
          <w:p>
            <w:pPr>
              <w:jc w:val="center"/>
              <w:ind w:left="157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
        </w:trPr>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86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2640" w:type="dxa"/>
            <w:vAlign w:val="bottom"/>
            <w:shd w:val="clear" w:color="auto" w:fill="CCEEFF"/>
          </w:tcPr>
          <w:p>
            <w:pPr>
              <w:jc w:val="center"/>
              <w:ind w:left="157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6"/>
        </w:trPr>
        <w:tc>
          <w:tcPr>
            <w:tcW w:w="248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6120" w:type="dxa"/>
            <w:vAlign w:val="bottom"/>
            <w:tcBorders>
              <w:top w:val="single" w:sz="8" w:color="CCEEFF"/>
            </w:tcBorders>
            <w:gridSpan w:val="10"/>
          </w:tcPr>
          <w:p>
            <w:pPr>
              <w:spacing w:after="0"/>
              <w:rPr>
                <w:sz w:val="15"/>
                <w:szCs w:val="15"/>
                <w:color w:val="auto"/>
              </w:rPr>
            </w:pPr>
          </w:p>
        </w:tc>
        <w:tc>
          <w:tcPr>
            <w:tcW w:w="2640" w:type="dxa"/>
            <w:vAlign w:val="bottom"/>
            <w:tcBorders>
              <w:top w:val="single" w:sz="8" w:color="CCEEFF"/>
            </w:tcBorders>
          </w:tcPr>
          <w:p>
            <w:pPr>
              <w:jc w:val="center"/>
              <w:ind w:left="1570"/>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86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2640" w:type="dxa"/>
            <w:vAlign w:val="bottom"/>
            <w:shd w:val="clear" w:color="auto" w:fill="CCEEFF"/>
          </w:tcPr>
          <w:p>
            <w:pPr>
              <w:jc w:val="center"/>
              <w:ind w:left="157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6"/>
        </w:trPr>
        <w:tc>
          <w:tcPr>
            <w:tcW w:w="202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TAXATION</w:t>
            </w:r>
          </w:p>
        </w:tc>
        <w:tc>
          <w:tcPr>
            <w:tcW w:w="6580" w:type="dxa"/>
            <w:vAlign w:val="bottom"/>
            <w:tcBorders>
              <w:top w:val="single" w:sz="8" w:color="CCEEFF"/>
            </w:tcBorders>
            <w:gridSpan w:val="14"/>
          </w:tcPr>
          <w:p>
            <w:pPr>
              <w:spacing w:after="0"/>
              <w:rPr>
                <w:sz w:val="15"/>
                <w:szCs w:val="15"/>
                <w:color w:val="auto"/>
              </w:rPr>
            </w:pPr>
          </w:p>
        </w:tc>
        <w:tc>
          <w:tcPr>
            <w:tcW w:w="2640" w:type="dxa"/>
            <w:vAlign w:val="bottom"/>
            <w:tcBorders>
              <w:top w:val="single" w:sz="8" w:color="CCEEFF"/>
            </w:tcBorders>
          </w:tcPr>
          <w:p>
            <w:pPr>
              <w:jc w:val="center"/>
              <w:ind w:left="157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540" w:type="dxa"/>
            <w:vAlign w:val="bottom"/>
            <w:tcBorders>
              <w:bottom w:val="single" w:sz="8" w:color="CCEEFF"/>
            </w:tcBorders>
            <w:gridSpan w:val="13"/>
            <w:shd w:val="clear" w:color="auto" w:fill="CCEEFF"/>
          </w:tcPr>
          <w:p>
            <w:pPr>
              <w:spacing w:after="0"/>
              <w:rPr>
                <w:sz w:val="17"/>
                <w:szCs w:val="17"/>
                <w:color w:val="auto"/>
              </w:rPr>
            </w:pPr>
          </w:p>
        </w:tc>
        <w:tc>
          <w:tcPr>
            <w:tcW w:w="2640" w:type="dxa"/>
            <w:vAlign w:val="bottom"/>
            <w:tcBorders>
              <w:bottom w:val="single" w:sz="8" w:color="CCEEFF"/>
            </w:tcBorders>
            <w:shd w:val="clear" w:color="auto" w:fill="CCEEFF"/>
          </w:tcPr>
          <w:p>
            <w:pPr>
              <w:jc w:val="center"/>
              <w:ind w:left="1570"/>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175"/>
        </w:trPr>
        <w:tc>
          <w:tcPr>
            <w:tcW w:w="860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640" w:type="dxa"/>
            <w:vAlign w:val="bottom"/>
          </w:tcPr>
          <w:p>
            <w:pPr>
              <w:jc w:val="center"/>
              <w:ind w:left="1570"/>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7820" w:type="dxa"/>
            <w:vAlign w:val="bottom"/>
            <w:tcBorders>
              <w:bottom w:val="single" w:sz="8" w:color="CCEEFF"/>
            </w:tcBorders>
            <w:gridSpan w:val="24"/>
            <w:shd w:val="clear" w:color="auto" w:fill="CCEEFF"/>
          </w:tcPr>
          <w:p>
            <w:pPr>
              <w:spacing w:after="0"/>
              <w:rPr>
                <w:sz w:val="17"/>
                <w:szCs w:val="17"/>
                <w:color w:val="auto"/>
              </w:rPr>
            </w:pPr>
          </w:p>
        </w:tc>
        <w:tc>
          <w:tcPr>
            <w:tcW w:w="2640" w:type="dxa"/>
            <w:vAlign w:val="bottom"/>
            <w:tcBorders>
              <w:bottom w:val="single" w:sz="8" w:color="CCEEFF"/>
            </w:tcBorders>
            <w:shd w:val="clear" w:color="auto" w:fill="CCEEFF"/>
          </w:tcPr>
          <w:p>
            <w:pPr>
              <w:jc w:val="center"/>
              <w:ind w:left="1570"/>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176"/>
        </w:trPr>
        <w:tc>
          <w:tcPr>
            <w:tcW w:w="860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2640" w:type="dxa"/>
            <w:vAlign w:val="bottom"/>
          </w:tcPr>
          <w:p>
            <w:pPr>
              <w:jc w:val="center"/>
              <w:ind w:left="157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9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EXPENSES</w:t>
            </w:r>
          </w:p>
        </w:tc>
        <w:tc>
          <w:tcPr>
            <w:tcW w:w="7700" w:type="dxa"/>
            <w:vAlign w:val="bottom"/>
            <w:tcBorders>
              <w:bottom w:val="single" w:sz="8" w:color="CCEEFF"/>
            </w:tcBorders>
            <w:gridSpan w:val="23"/>
            <w:shd w:val="clear" w:color="auto" w:fill="CCEEFF"/>
          </w:tcPr>
          <w:p>
            <w:pPr>
              <w:spacing w:after="0"/>
              <w:rPr>
                <w:sz w:val="17"/>
                <w:szCs w:val="17"/>
                <w:color w:val="auto"/>
              </w:rPr>
            </w:pPr>
          </w:p>
        </w:tc>
        <w:tc>
          <w:tcPr>
            <w:tcW w:w="2640" w:type="dxa"/>
            <w:vAlign w:val="bottom"/>
            <w:tcBorders>
              <w:bottom w:val="single" w:sz="8" w:color="CCEEFF"/>
            </w:tcBorders>
            <w:shd w:val="clear" w:color="auto" w:fill="CCEEFF"/>
          </w:tcPr>
          <w:p>
            <w:pPr>
              <w:jc w:val="center"/>
              <w:ind w:left="1570"/>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176"/>
        </w:trPr>
        <w:tc>
          <w:tcPr>
            <w:tcW w:w="860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640" w:type="dxa"/>
            <w:vAlign w:val="bottom"/>
          </w:tcPr>
          <w:p>
            <w:pPr>
              <w:jc w:val="center"/>
              <w:ind w:left="157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86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640" w:type="dxa"/>
            <w:vAlign w:val="bottom"/>
            <w:shd w:val="clear" w:color="auto" w:fill="CCEEFF"/>
          </w:tcPr>
          <w:p>
            <w:pPr>
              <w:jc w:val="center"/>
              <w:ind w:left="1570"/>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175"/>
        </w:trPr>
        <w:tc>
          <w:tcPr>
            <w:tcW w:w="382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4780" w:type="dxa"/>
            <w:vAlign w:val="bottom"/>
            <w:tcBorders>
              <w:top w:val="single" w:sz="8" w:color="CCEEFF"/>
            </w:tcBorders>
            <w:gridSpan w:val="6"/>
          </w:tcPr>
          <w:p>
            <w:pPr>
              <w:spacing w:after="0"/>
              <w:rPr>
                <w:sz w:val="15"/>
                <w:szCs w:val="15"/>
                <w:color w:val="auto"/>
              </w:rPr>
            </w:pPr>
          </w:p>
        </w:tc>
        <w:tc>
          <w:tcPr>
            <w:tcW w:w="2640" w:type="dxa"/>
            <w:vAlign w:val="bottom"/>
            <w:tcBorders>
              <w:top w:val="single" w:sz="8" w:color="CCEEFF"/>
            </w:tcBorders>
          </w:tcPr>
          <w:p>
            <w:pPr>
              <w:ind w:left="2000"/>
              <w:spacing w:after="0" w:line="176" w:lineRule="exact"/>
              <w:rPr>
                <w:sz w:val="20"/>
                <w:szCs w:val="20"/>
                <w:color w:val="auto"/>
              </w:rPr>
            </w:pPr>
            <w:r>
              <w:rPr>
                <w:rFonts w:ascii="Times New Roman" w:cs="Times New Roman" w:eastAsia="Times New Roman" w:hAnsi="Times New Roman"/>
                <w:sz w:val="18"/>
                <w:szCs w:val="18"/>
                <w:color w:val="auto"/>
              </w:rPr>
              <w:t>II-1</w:t>
            </w:r>
          </w:p>
        </w:tc>
      </w:tr>
      <w:tr>
        <w:trPr>
          <w:trHeight w:val="21"/>
        </w:trPr>
        <w:tc>
          <w:tcPr>
            <w:tcW w:w="6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402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INFORMATION NOT REQUIRED IN PROSPECTUS</w:t>
            </w:r>
          </w:p>
        </w:tc>
        <w:tc>
          <w:tcPr>
            <w:tcW w:w="4580" w:type="dxa"/>
            <w:vAlign w:val="bottom"/>
            <w:tcBorders>
              <w:bottom w:val="single" w:sz="8" w:color="CCEEFF"/>
            </w:tcBorders>
            <w:gridSpan w:val="5"/>
            <w:shd w:val="clear" w:color="auto" w:fill="CCEEFF"/>
          </w:tcPr>
          <w:p>
            <w:pPr>
              <w:spacing w:after="0"/>
              <w:rPr>
                <w:sz w:val="17"/>
                <w:szCs w:val="17"/>
                <w:color w:val="auto"/>
              </w:rPr>
            </w:pPr>
          </w:p>
        </w:tc>
        <w:tc>
          <w:tcPr>
            <w:tcW w:w="2640" w:type="dxa"/>
            <w:vAlign w:val="bottom"/>
            <w:tcBorders>
              <w:bottom w:val="single" w:sz="8" w:color="CCEEFF"/>
            </w:tcBorders>
            <w:shd w:val="clear" w:color="auto" w:fill="CCEEFF"/>
          </w:tcPr>
          <w:p>
            <w:pPr>
              <w:ind w:left="2000"/>
              <w:spacing w:after="0" w:line="176" w:lineRule="exact"/>
              <w:rPr>
                <w:sz w:val="20"/>
                <w:szCs w:val="20"/>
                <w:color w:val="auto"/>
              </w:rPr>
            </w:pPr>
            <w:r>
              <w:rPr>
                <w:rFonts w:ascii="Times New Roman" w:cs="Times New Roman" w:eastAsia="Times New Roman" w:hAnsi="Times New Roman"/>
                <w:sz w:val="18"/>
                <w:szCs w:val="18"/>
                <w:color w:val="auto"/>
              </w:rPr>
              <w:t>II-1</w:t>
            </w:r>
          </w:p>
        </w:tc>
      </w:tr>
      <w:tr>
        <w:trPr>
          <w:trHeight w:val="176"/>
        </w:trPr>
        <w:tc>
          <w:tcPr>
            <w:tcW w:w="860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EXHIBIT INDEX</w:t>
            </w:r>
          </w:p>
        </w:tc>
        <w:tc>
          <w:tcPr>
            <w:tcW w:w="2640" w:type="dxa"/>
            <w:vAlign w:val="bottom"/>
          </w:tcPr>
          <w:p>
            <w:pPr>
              <w:ind w:left="2000"/>
              <w:spacing w:after="0" w:line="176" w:lineRule="exact"/>
              <w:rPr>
                <w:sz w:val="20"/>
                <w:szCs w:val="20"/>
                <w:color w:val="auto"/>
              </w:rPr>
            </w:pPr>
            <w:r>
              <w:rPr>
                <w:rFonts w:ascii="Times New Roman" w:cs="Times New Roman" w:eastAsia="Times New Roman" w:hAnsi="Times New Roman"/>
                <w:sz w:val="18"/>
                <w:szCs w:val="18"/>
                <w:color w:val="auto"/>
              </w:rPr>
              <w:t>II-4</w:t>
            </w: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76"/>
        </w:trPr>
        <w:tc>
          <w:tcPr>
            <w:tcW w:w="86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2640" w:type="dxa"/>
            <w:vAlign w:val="bottom"/>
            <w:shd w:val="clear" w:color="auto" w:fill="CCEEFF"/>
          </w:tcPr>
          <w:p>
            <w:pPr>
              <w:ind w:left="2000"/>
              <w:spacing w:after="0" w:line="176" w:lineRule="exact"/>
              <w:rPr>
                <w:sz w:val="20"/>
                <w:szCs w:val="20"/>
                <w:color w:val="auto"/>
              </w:rPr>
            </w:pPr>
            <w:r>
              <w:rPr>
                <w:rFonts w:ascii="Times New Roman" w:cs="Times New Roman" w:eastAsia="Times New Roman" w:hAnsi="Times New Roman"/>
                <w:sz w:val="18"/>
                <w:szCs w:val="18"/>
                <w:color w:val="auto"/>
              </w:rPr>
              <w:t>II-5</w:t>
            </w:r>
          </w:p>
        </w:tc>
      </w:tr>
      <w:tr>
        <w:trPr>
          <w:trHeight w:val="20"/>
        </w:trPr>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0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w:t>
            </w:r>
          </w:p>
        </w:tc>
        <w:tc>
          <w:tcPr>
            <w:tcW w:w="2640" w:type="dxa"/>
            <w:vAlign w:val="bottom"/>
          </w:tcPr>
          <w:p>
            <w:pPr>
              <w:ind w:left="2000"/>
              <w:spacing w:after="0" w:line="176" w:lineRule="exact"/>
              <w:rPr>
                <w:sz w:val="20"/>
                <w:szCs w:val="20"/>
                <w:color w:val="auto"/>
              </w:rPr>
            </w:pPr>
            <w:r>
              <w:rPr>
                <w:rFonts w:ascii="Times New Roman" w:cs="Times New Roman" w:eastAsia="Times New Roman" w:hAnsi="Times New Roman"/>
                <w:sz w:val="18"/>
                <w:szCs w:val="18"/>
                <w:color w:val="auto"/>
              </w:rPr>
              <w:t>II-5</w:t>
            </w:r>
          </w:p>
        </w:tc>
      </w:tr>
      <w:tr>
        <w:trPr>
          <w:trHeight w:val="21"/>
        </w:trPr>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75"/>
        </w:trPr>
        <w:tc>
          <w:tcPr>
            <w:tcW w:w="86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 OF AUTHORIZED U.S. REPRESENTATIVE OF REGISTRANT</w:t>
            </w:r>
          </w:p>
        </w:tc>
        <w:tc>
          <w:tcPr>
            <w:tcW w:w="2640" w:type="dxa"/>
            <w:vAlign w:val="bottom"/>
            <w:shd w:val="clear" w:color="auto" w:fill="CCEEFF"/>
          </w:tcPr>
          <w:p>
            <w:pPr>
              <w:ind w:left="2000"/>
              <w:spacing w:after="0" w:line="176" w:lineRule="exact"/>
              <w:rPr>
                <w:sz w:val="20"/>
                <w:szCs w:val="20"/>
                <w:color w:val="auto"/>
              </w:rPr>
            </w:pPr>
            <w:r>
              <w:rPr>
                <w:rFonts w:ascii="Times New Roman" w:cs="Times New Roman" w:eastAsia="Times New Roman" w:hAnsi="Times New Roman"/>
                <w:sz w:val="18"/>
                <w:szCs w:val="18"/>
                <w:color w:val="auto"/>
              </w:rPr>
              <w:t>II-6</w:t>
            </w:r>
          </w:p>
        </w:tc>
      </w:tr>
      <w:tr>
        <w:trPr>
          <w:trHeight w:val="21"/>
        </w:trPr>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F-3 filed with the U.S. Securities and Exchange Commission, or the SEC, using a “shelf” registration process for the delayed offering and sale of securities pursuant to Rule 415 under the Securities Act of 1933, as amended (the “Securities Act”).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By using a shelf registration statement, we may sell securities from time to time and in one or more offerings up to a total dollar amount of $250,000,000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any document incorporated by reference herein or therein may also add, update or change information contained in this prospectus with respect to that offering. If there is any inconsistency between the information contained in or incorporated by reference into this prospectus and the applicable prospectus supplement, you should rely on the prospectus supplement. This prospectus does not contain all of the information provided in the registration statement that we filed with the SEC. Before purchasing any securities, you should carefully read both this prospectus and the applicable prospectus supplement (and any applicable free writing prospectuses), together with the additional information described under the headings “</w:t>
      </w:r>
      <w:r>
        <w:rPr>
          <w:rFonts w:ascii="Times New Roman" w:cs="Times New Roman" w:eastAsia="Times New Roman" w:hAnsi="Times New Roman"/>
          <w:sz w:val="18"/>
          <w:szCs w:val="18"/>
          <w:i w:val="1"/>
          <w:iCs w:val="1"/>
          <w:u w:val="single" w:color="auto"/>
          <w:color w:val="0000EE"/>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u w:val="single" w:color="auto"/>
          <w:color w:val="0000EE"/>
        </w:rPr>
        <w:t>Incorporation of Certain Information by Reference</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You should rely only on this prospectus, the information incorporated or deemed to be incorporated by reference in this prospectus and any free writing prospectus prepared by us or on our behalf. We have not authorized anyone to provide you with any information or to make any representations other than those contained in or incorporated by reference into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and/or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and the information incorporated herein by reference may include trademarks, service marks and trade names owned by us or other companies. All trademarks, service marks and trade names included or incorporated by reference into this prospectus are the property of their respective owners.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Information contained on, or that can be accessed through, our website does not constitute part of this prospectus, any applicable prospectus supplement or any related free writing prospectus.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used in this prospectus, unless otherwise indicated or the context otherwise requires, the terms “we,” “us,” “our,” “registrant,” “Company” and “K Wave” mean K Wave Media Ltd. and its subsidiaries. When we refer to “you,” we mean the potential holders of the applicable series of securities.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both an “emerging growth company” and a “foreign private issuer” as defined under the U.S. federal securities laws and, as such, may elect to comply with certain reduced public company disclosure and reporting requirements.</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No action is being taken in any jurisdiction outside the United States to permit a public offering of the securities or possession or distribution of this prospectus in that jurisdiction. Persons who come into possession of this prospectus in jurisdictions outside the United States are required to inform themselves about and to observe any restrictions as to an offering pursuant to and the distribution of this prospectus applicable to that jurisdiction.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(including information incorporated by reference) contains forward-looking statements within the meaning of Section 27A of the Securities Act and Section 21E of the Securities Exchange Act of 1934, as amended (the “Exchange Act”), that involve substantial risks and uncertainties. All statements other than statements of historical facts contained in this prospectus, including statements regarding our future financial position, business strategy and plans and objectives of management for future operations, are forward-looking statements.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“goals,” “targets,” “objectives,” “will,” “projects,” “believe,” “may,” “estimate,” “continue,” “anticipate,” “intend,” “should,” “plan,” “expect,” “predict,” “potential” or the negative of these terms or other similar expressions.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our possible or assumed future results of operations.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Forward-looking statements involve a number of risks, uncertainties and assumptions, and actual results or events may differ materially from those projected or implied in those statements. Important factors that could cause such differences include, but are not limited to:</w:t>
      </w:r>
    </w:p>
    <w:p>
      <w:pPr>
        <w:spacing w:after="0" w:line="162"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 and service offerings;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revenues, costs or expenditures;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demand for and market acceptance of our products and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growth of our customers, including consolidated account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and regulations relating to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may affect our financial condition, liquidity and results of operations;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the section entitled “Risk Factors” in this prospectus and in the documents incorporated by reference into this prospectus.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Many important factors, in addition to the factors described above and in other sections of this prospectus, could adversely impact our business and financial performance. 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results to differ materially from estimates or forward-looking statements. We qualify all of our estimates and forward-looking statements by these cautionary statements.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goals, targets, expectations and estimates included or incorporated by reference in this prospectus were prepared by the Company’s management team based on information available at the time such information was developed and reflects numerous assumptions that are subject to change, including those related to general business, economic, market, and financial conditions, as well as other factors that are difficult to predict and many of which are beyond the Company’s control. The Company believes the assumptions underlying such goals, targets, expectations and estimates were reasonable at the time such information was prepared. However, important factors may affect actual results and cause the results reflected in such goals, targets, expectations and estimates not to be achieved including, among other things, risks and uncertainties relating to the Company’s business, industry performance, the regulatory environment, and general business and economic conditions, as discussed in the immediately preceding paragraph.</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estimates and forward-looking statements made in this prospectus relate only to events or information as of the date on which the statements are made in this prospectus. Except as required by law, we undertake no obligation to update or revise publicly any estimate or forward-looking statements, whether as a result of new information, future events or otherwise, after the date on which the statements are made or to reflect the occurrence of unanticipated events. We caution you against placing undue reliance on forward-looking statements, which reflect current beliefs and are based on information currently available as of the date a forward-looking statement is made. In evaluating our forward-looking statements, you should specifically consider the risks and uncertainties described in the section entitled “Risk Factors” in this prospectus and in the documents incorporated by reference into this prospectus.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WAVE’S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K Wave was a wholly owned subsidiary of Global Star Acquisition Inc. (“Global Star”), and was incorporated on June 22, 2023 as a Cayman Islands exempted company. K Wave was incorporated for the purpose of becoming the ultimate parent company following the consummation of its Business Combination (as defined below). Prior to the consummation of the Business Combination, K Wave maintained one direct, wholly owned subsidiary, GLST Merger Sub Inc., a Delaware corporation (“Merger Sub”). Merger Sub was incorporated to facilitate the consummation of the Business Combination. As of the date of the prospectus, Merger Sub has been merged with and into K Enter Holdings Inc., a Delaware corporation and a wholly owned subsidiary of K Wave (“K Enter”), in connection with the Business Combination.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 Wave is engaged in the “IP content business,” which refers to a business that focuses on creating, investing in, managing, licensing, and monetizing intellectual property (“IP”) content such as TV shows, movies, dramas and music. At the heart of K Wave’s IP content business is the creation of original content or the acquisition of rights to existing content from creators, artists, or other sources, such as films and TV shows that are valuable IP. In the case of Play Company Co., Ltd., which is a subsidiary of K Wave and is in the content merchandising business (the “Play,” “Play Company”), it involves the merchandise sales of IP content based on popular musicians, TV shows and movies. K Wave regards its IP content, including copyrights, registered trademark and pending trademarks, service marks, domain names, trade secrets, proprietary technologies and similar IP, as critical to its success. K Wave relies on trademark law, trade secret protection and confidentiality and license agreements with employees and others to protect K Wave’s proprietary rights.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its existing IP content operations, K Wave has commenced a strategic transformation toward the AI infrastructure sector. The Company is pursuing opportunities to acquire, develop, own and operate AI-focused digital infrastructure assets, including data centers, GPU computing infrastructure, AI cloud and compute platforms, and related technology assets. The Company’s strategy includes investing in AI-ready data center facilities, GPU clusters, power and cooling infrastructure, and strategic partnerships that support the growing demand for artificial intelligence computing capacity. In July 2026, the Company expects shareholders to consider a proposed disposition of Play Company. Additionally, in July 2026, the Company expects to dispose of its 95% ownership interest in Solaire Partners LLC (“Solaire”). If our shareholders approve the disposition of Play Company and the dispositions of Play and Solaire are consummated, the dispositions would significantly reduce the Company’s exposure to the content merchandising sector and facilitate the Company’s transition toward AI infrastructure-focused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the Six Korean Entities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K Enter’s acquisition of Play Company, which occurred on January 2, 2025, and Solaire Partners LLC, Apeitda Co., Ltd., The LAMP Co., Ltd., Bidangil Pictures Co., Ltd. and Studio Anseilen Co., Ltd., which occurred subsequent to January 2, 2025, was a closing condition to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13, 2025, K Wave consummated the previously announced business combination pursuant to the Merger Agreement, dated June 15, 2023, by and between Global Star and K Enter (as amended, the “Merger Agreement”).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transactions occurred pursuant to the terms of the Merger Agreement (collectively, the “Business Combination”):</w:t>
      </w:r>
    </w:p>
    <w:p>
      <w:pPr>
        <w:spacing w:after="0" w:line="225" w:lineRule="exact"/>
        <w:rPr>
          <w:sz w:val="20"/>
          <w:szCs w:val="20"/>
          <w:color w:val="auto"/>
        </w:rPr>
      </w:pPr>
    </w:p>
    <w:p>
      <w:pPr>
        <w:jc w:val="both"/>
        <w:ind w:left="980" w:hanging="324"/>
        <w:spacing w:after="0" w:line="253"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13, 2025, Global Star was reincorporated to Cayman Islands by merging with and into K Wave, with K Wave remaining as the surviving publicly traded entity (the “Reincorporation Merger”). In connection with the closing of the Reincorporation Merger, (i) each issued and outstanding share of Global Star’s Class A common stock, par value $0.0001 per share (the “Global Star Common Stock”), other than Global Star Common Stock owned by Global Star as treasury shares or any Global Star Common Stock owned by any direct or indirect wholly owned subsidiary of Global Star, was converted into one Ordinary Share of K Wave, (ii) each issued and outstanding warrant of Global Star was converted automatically into a warrant to purchase one Ordinary Share of K Wave at a price of $11.50 per whole share (which are referred to herein as the “Warrants” or the “Public Warrants”), (iii) each issued and outstanding right of Global Star was converted automatically into a right to receive one-tenth (1/10) of one Ordinary Share of K Wave at the closing of a business combination (the “K Wave Right”), and (iv) each issued and outstanding unit of Global Star was separated and converted automatically into one Ordinary Share of K Wave, one Public Warrant, and one K Wave Right. At the closing of the Reincorporation Merger, all Global Star Common Stock and all Global Star warrants, rights, units and other securities of Global Star ceased to be outstanding and were automatically canceled and retired and ceased to exist; and</w:t>
      </w:r>
    </w:p>
    <w:p>
      <w:pPr>
        <w:spacing w:after="0" w:line="189"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13, 2025, Merger Sub merged with and into K Enter, resulting in K Enter being a wholly owned subsidiary of K Wave (the “Acquisition Merger”). In connection with the closing of the Acquisition Merger, (i) each share of K Enter capital stock that was owned by Global Star, Merger Sub and K Enter (as treasury stock or otherwise), was automatically cancelled and retired without any conversion, (ii) each share of K Enter preferred stock issued and outstanding was deemed converted into shares of K Enter common stock, (iii) each share of K Enter common stock issued and outstanding, including shares of K Enter common stock deemed outstanding as a result of the mandatory conversion of K Enter preferred stock, was converted into the right to receive a number of Ordinary Shares of K Wave equal to a conversion ratio of 312.1:1, and (iv) each share of Merger Sub common stock issued and outstanding was converted into and became one newly issued, fully paid and nonassessable share of K Enter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Standby Equity Purchase Agreement (the “SEPA”)</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3, 2025, the Company entered into a Standby Equity Purchase Agreement (the “SEPA”) with the Bitcoin Strategic Reserve KWM LLC (“Bitcoin Strategic”), pursuant to which the Company has the right to sell to Bitcoin Strategic up to $500 million of its Ordinary Shares, subject to certain limitations and conditions set forth in the SEPA, from time to time during the term of the SEPA. Sales of Ordinary Shares to Bitcoin Strategic under the SEPA, and the timing of any such sales, are at the Company’s option, and the Company is under no obligation to sell any Ordinary Shares to Bitcoin Strategic under the SEPA.</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the satisfaction of the conditions to Bitcoin Strategic’s purchase obligation set forth in the SEPA, the Company will have the right, but not the obligation, from time to time at its discretion until the SEPA is terminated to direct Bitcoin Strategic to purchase a specified number of Ordinary Shares (each, a “Bitcoin Strategic Advance”) by delivering written notice to Bitcoin Strategic. While there is no mandatory minimum amount for any Bitcoin Strategic Advance, no Bitcoin Strategic Advance may be for the sale of an amount of shares greater than the average of the daily traded amount of Ordinary Shares during the five consecutive trading days immediately preceding a notice of a Bitcoin Strategic Advance. Additionally, subject to certain exceptions set forth in the SEPA, the Company may not effect any sales under the SEPA to the extent that after giving effect to such sales the aggregate number of Ordinary Shares issued under the SEPA would exceed 19.99% of the aggregate amount of Ordinary Shares issued in the capital of the Company immediately prior to the date of the SEPA.</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will control the timing and amount of any sales of Ordinary Shares to Bitcoin Strategic. Actual sales of Ordinary Shares to Bitcoin Strategic under the SEPA will depend on a variety of factors to be determined by the Company from time to time, which may include, among other things, market conditions, the trading price of the shares and determinations by the Company as to the appropriate sources of funding for our business and operations.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SEPA will automatically terminate on the earlier of (i) the 36-month anniversary of the date of the SEPA or (ii) the date on which Bitcoin Strategic shall have made payment of Bitcoin Strategic Advances pursuant to the SEPA for Ordinary Shares equal to $500 million. The Company has the right to terminate the SEPA at no cost or penalty upon three business day’s prior written notice to Bitcoin Strategic, provided that (i) there are no outstanding Bitcoin Strategic sale notices for which Ordinary Shares need to be issued and (ii) the Company has paid all amounts owed to Bitcoin Strategic pursuant to the SEPA. The Company and Bitcoin Strategic may also agree to terminate the SEPA by mutual written consent.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net proceeds under the SEPA to the Company will depend on the frequency and prices at which the Company sells Ordinary Shares to Bitcoin Strategic. The Company expects that any proceeds received from such sales to Bitcoin Strategic will be used primarily for working capital and general corporate purposes and for purposes of implementing its treasury strategy (described in greater detail below).</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Stephen Drew is the Managing Member of Bitcoin Strategic. Mr. Drew is an Initial Stockholder of the Company and a member of the Company’s Advisory Board. In addition, Mr. Drew served as a director of Global Star and is a Managing Partner of Global Fund LLC, along with Ted Kim, the Company’s Co-Founder, Chief Executive Officer and a member of the Company’s board of directors (the “Board” or the “Board of Directors”). The transactions consummated in connection with the SEPA and all negotiations relating thereto were conducted on an “arm’s length”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Anson Funds Securities Purchase 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July 3, 2025, we entered into a Securities Purchase Agreement, by and among the Company, Anson Investments Master Fund, LP and Anson East Master Fund LP (together, the “Anson Funds”), and Anson Investments Master Fund L.P., as collateral agent for the Anson Funds (the “SPA”).</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and subject to the terms and conditions of the SPA, the Company agreed to issue and sell to the Anson Funds, and the Anson Funds agreed to purchase from the Company, severally and not jointly, (i) at the Initial Closing (as described below), for an aggregate amount of $15,000,000, Senior Secured Convertible Notes representing an aggregate principal amount of $15,789,474 (the “Initial Notes”) and warrants (the “Initial Warrants”) to purchase an aggregate of 4,312,180 Ordinary Shares. The Initial Notes are convertible into an aggregate of 4,449,761 Ordinary Shares (assuming interest is payable on such notes at a rate of 12% commencing on the date of issuance of the applicable SPA Note and ending on the date that is 2 years thereafter).</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and subject to the terms and conditions of the SPA, the Company also agreed to issue and sell to the Anson Funds, and the Anson Funds agreed to purchase from the Company, severally and not jointly, at (i) the Second Closing (as described below), for an aggregate amount of up to $10,000,000, Senior Secured Convertible Notes representing an aggregate principal amount of $10,526,316 (the “Second Notes”) and warrants (the “Second Warrants”) to purchase an aggregate of 2,874,786 Ordinary Shares; and (ii) at the Additional Closing (as described below), if any, for an aggregate amount of up to $475,000,000, Senior Secured Convertible Notes representing an aggregate principal amount of $500,000,000 (the “Additional Notes”) and warrants (the “Additional Warrants”) to purchase an aggregate of 136,552,327 Ordinary Shares.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of the Senior Secured Convertible Notes issued and issuable under the SPA (collectively, the “SPA Notes”) are convertible into Ordinary Shares at any time by the Anson Funds at a conversion price of $4.40 per Ordinary Share (subject to customary adjustment provisions in the SPA Notes). Additionally, the Senior Secured Convertible Notes issued and issuable under the SPA provide that Anson may, at any time, convert (each, an “Alternate Conversion”) all, or any part of, the outstanding principal and accrued and unpaid interest under such notes into Ordinary Shares at a conversion price equal to 92% of the lowest daily volume weighted average price of the Ordinary Shares for such date (or the nearest preceding date) on the trading market on which the Ordinary Shares are then listed or quoted for trading (the “Trading Market”) in the ten trading days prior to the applicable Alternate Conversion date.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the Warrants to Purchase Ordinary Shares issued and issuable under the SPA (collectively, the “SPA Warrants”) are exercisable into Ordinary Shares at any time by the Anson Funds at an exercise price of $3.6616 per Ordinary Share (subject to customary adjustment provisions in the SPA Warrants).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July 11, 2025, the “Initial Closing” under the SPA was consummated by the parties thereto, pursuant to which the Company sold to the Anson Funds, for an aggregate amount of $15,000,000, the Initial Notes and the Initial Warrants.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SPA, the consummation of the “Second Closing” requires, in addition to customary conditions to closing, that (i) no event of default under the SPA Notes shall have occurred or be continuing; (ii) the closing price of the Company’s Ordinary Shares on the Trading Market equals or exceeds $3.00 per share on each trading day during the ten consecutive trading days immediately prior to the date of the Second Closing (the “Second Closing Date”); (iii) the daily dollar trading volume for the Ordinary Shares on the Trading Market equals or exceeds $2,000,000 per trading day on each trading day during the ten consecutive trading days immediately prior to the Second Closing Date; and (iv) a registration statement with respect to the Initial Closing and the Second Closing shall have been declared effective.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SPA, the consummation of any Additional Closing requires, in addition to customary conditions to closing, that no event of default under the SPA Notes shall have occurred or be continuing.</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as a condition to the consummation of the Second Closing and any Additional Closing, the SPA requires that, from the date of the SPA to the date of the applicable closing, trading in the Company’s Ordinary Shares shall not have been suspended by the SEC or the Trading Market or limited or minimum prices established by Bloomberg L.P.,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the Anson Funds, makes it impracticable or inadvisable to purchase the applicable SPA Notes and SPA Warrants at such closing.</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SPA contains customary representations, warranties, conditions and indemnification obligations of the parties. The representations, warranties and covenants contained in such agreement were made only for purposes of such agreements and as of specific dates, were solely for the benefit of the parties to such agreements and may be subject to limitations agreed upon by the contracting parties.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January 2026, the Company received notices of partial conversion of the Initial Notes from the Anson Funds and issued an aggregate of 4,824,273 Ordinary Shares upon such conversion, including 3,857,634 shares to Anson Investments Master Fund LP and 966,639 shares to Anson East Master Fund LP.</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29, 2026, the Company entered into an amendment to the SPA. Pursuant to the amendment, the Company liquidated 88 Bitcoin it held in its treasury and repaid $6 million of the Initial Notes. Pursuant to the amendment to the SPA, the Company was permitted to use proceeds from future sales of additional securities under the SPA for investments in AI infrastructure assets, and all such assets will constitute Collateral under the Security Agreement (as defined below).</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SPA Notes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SPA Notes are substantially identical and each SPA Note matures, and all principal and any accrued interest on such SPA Note will be payable, on the date that is twenty-four months following its issuance date. The SPA Notes will not bear interest unless an event of default occurs under the SPA Notes, in which event the SPA Notes will bear interest at a rate of 12% per annum (retroactively commencing the date of issuance of the applicable SPA Note), payable at maturity. Additionally, any overdue accrued and unpaid interest to be paid under the SPA Notes will incur a late fee at an interest rate equal to 12% per annum (commencing on the date the interest was payable).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of the SPA Notes are convertible into Ordinary Shares at any time by the Anson Funds at a conversion price of $4.40 per Ordinary Share (subject to customary adjustment provisions in the SPA Notes, including adjustments upon dividends by the Company of Ordinary Shares and upon any stock splits or share subdivisions effectuated by the Company). Each SPA Note also provides that, at any time after the issuance date of such SPA Note, the holder may, at its option, convert pursuant to an Alternate Conversion all or any part of the outstanding principal and accrued and unpaid interest under such SPA Note into Ordinary Shares at a conversion price equal to 92% of the lowest daily volume weighted average price of the Ordinary Shares for such date (or the nearest preceding date) on the Trading Market on which the Ordinary Shares are then listed or quoted in the ten trading days prior to the applicable Alternate Conversion date.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pursuant to the SPA Notes, the Company may not effect the conversion of any SPA Note, and an Anson Fund holding such SPA Note will not have the right to convert such SPA Note, to the extent that after giving effect to the conversion, the Anson Fund and its affiliates would beneficially own in excess of 4.99% of the number of Ordinary Shares outstanding immediately after giving effect to the conversion.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SPA Notes have customary event of default provisions. Under the SPA Notes, upon the occurrence or existence of any event of default, the outstanding principal amount, any accrued interest and any other amounts payable thereunder will be (or in certain instances, at the option of the holder thereof, may be) immediately accelerated.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SPA Notes contain certain redemption rights of the Anson Funds upon certain financing and change of control events involving the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SPA Warrants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SPA Warrants are substantially identical. The SPA Warrants provide the Anson Funds the right to purchase, assuming all SPA Warrants are issued by the Company to the Anson Funds, an aggregate of 143,739,293 Ordinary Shares at an exercise price of $3.6616 (subject to customary adjustment provisions in the SPA Warrants, including adjustments upon dividends by the Company of Ordinary Shares and upon any stock splits or share subdivisions effectuated by the Company). Subject to certain exempted issuances, each SPA Warrant also provides that, if the Company, at any time while such SPA Warrant is outstanding, sells, enters into an agreement to sell, or grants any option to purchase, or sells or grants any right to reprice, or otherwise disposes of or issues any Ordinary Shares or any securities of the Company or its subsidiaries which would entitle the holder thereof to acquire at any time Ordinary Shares, at an effective price per share less than the exercise price of such SPA Warrant then in effect (such lower price, the “Base Share Price”), then simultaneously with the consummation (or, if earlier, the announcement) of each such issuance, the exercise price of such SPA Warrant will be reduced to equal the Base Share Price. Additionally, each SPA Warrant provides that the Company may at any time during the term of such SPA Warrant reduce the then current exercise price to any amount and for any period of time deemed appropriate by the Board of Directors of the Company.</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pursuant to the SPA Warrants, the Company may not exercise any SPA Warrant, and an Anson Fund holding such SPA Warrant will not have the right to exercise such SPA Warrant, to the extent that after giving effect to the exercise, the Anson Fund and its affiliates would beneficially own in excess of 4.99% of the number of Ordinary Shares outstanding immediately after giving effect to the exercise.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SPA Warrant will be immediately exercisable on the date of the SPA Warrants’ respective issuances. The SPA Warrants expire on the fifth anniversary of their respective issuance dates.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SPA Warrants may be exercised by an Anson Fund by paying the exercise price in cash or on a cashless basis. No fractional shares will be issued upon any exercise of any SPA Warrant. If, upon exercise of an SPA Warrant, a holder would be entitled to receive a fractional interest in an Ordinary Share, the Company will round up to the nearest whole share.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Security Agreement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SPA, on July 11, 2025, the Company and Anson Investments Master Fund, LP (in such capacity, the “Secured Party”), entered into a Security Agreement (the “Security Agreement”), pursuant to which the Company granted to the Secured Party a security interest in certain digital asset accounts (including all assets therein and proceeds therefrom, whenever held by the Company) which are jointly managed by the Company and the Anson Funds (the “Collateral”). Pursuant to the amendment to the SPA entered into on April 29, 2026, all AI infrastructure assets purchased by the Company will constitute Collateral under the Security Agreement. The Collateral secures all payment and other obligations (the “Secured Obligations”) of the Company under the SPA, the SPA Notes, the SPA Warrants and all other transaction documents entered into in connection with the SPA (collectively, the “SPA Transaction Documents”). Pursuant to the Security Agreement, if the Company defaults on any of the Secured Obligations, then the Secured Party will have the right, in addition to any rights of the Secured Party under applicable law and under the SPA and the other SPA Transaction Documents, to take exclusive control of the Collateral and sell, dispose or otherwise transfer the Collateral, and any payments, returns of capital and distributions made to the Company during such default will be paid to the Secured Party, in each case, until the Secured Obligations are paid in full. Pursuant to the Security Agreement, if the foregoing remedies are insufficient to repay the Secured Obligations, the Company will remain liable to pay such deficiency. The Security Agreement will terminate when the Secured Obligations are paid in full.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Rabbit Walk Share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27, 2025, the Company entered into a Share Purchase Agreement (the “Rabbit Walk Share Purchase Agreement”), by and among the Company, and the owners (collectively, the “Rabbit Walk Sellers”) of Rabbit Walk Inc., a company duly incorporated and existing under the laws of the Republic of Korea and engaged in the business of video and content media production (“Rabbit Walk”).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Rabbit Walk Share Purchase Agreement, the Rabbit Walk Sellers agreed to sell to the Company, and the Company agreed to purchase from the Rabbit Walk Sellers, an aggregate of 110,000 of the common shares (the “Rabbit Walk Shares”) of Rabbit Walk, which Rabbit Walk Shares represented 55% of the issued and outstanding common stock of Rabbit Walk as of the date of the Rabbit Walk Share Purchase Agreement.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consideration of the Company’s purchase from the Rabbit Walk Sellers of the Rabbit Walk Shares, the Company agreed to, at the closing of the transactions contemplated by the Rabbit Walk Share Purchase Agreement (the “Rabbit Walk Closing”), issue to the Rabbit Walk Sellers a number of Ordinary Shares (collectively, the “Rabbit Walk Consideration Shares”) having an aggregate value of South Korean Won (“KRW”) 9,075,000,000, calculated based on the average closing prices of the Ordinary Shares for the five consecutive business days ending on the day immediately preceding August 21, 2025 (or, USD $2.50 per Ordinary Share). On January 21, 2026, the Rabbit Walk Closing was consummated and, in consideration of the Rabbit Walk Shares, K Wave issued to the Rabbit Walk Sellers an aggregate of 2,633,753 Ordinary Shares.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Rabbit Walk Share Purchase Agreement provided that, in the event that Rabbit Walk’s Performance Based Consolidated Operating Profit for Rabbit Walk’s 2025 or 2026 fiscal year is equal to or exceeds the Purchase Agreement Threshold, then the Company will issue to the Rabbit Walk Sellers the Rabbit Walk Earnout Shares having an aggregate value of KRW 9,075,000,000, calculated based on a per Ordinary Share value of USD $2.50. For the 2025 fiscal year, Rabbit Walk’s Performance Based Consolidated Operating Profit met or exceeded the Purchase Agreement Threshold. As a result, in March 2026, the Company issued 2,633,753 Rabbit Walk Earnout Shares pursuant to the Rabbit Walk Share Purchase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Rabbit Walk Share Purchase Agreement provided that the Rabbit Walk Sellers are subject to certain lock-up provisions, pursuant to which each of the Rabbit Walk Sellers has agreed to not sell, transfer, pledge or otherwise dispose of (i) 50% of the Rabbit Walk Consideration Shares received by such Seller until the earlier of the date that is three months following the Closing and November 15, 2025; and (ii) 50% of the Rabbit Walk Consideration Shares received by such Rabbit Walk Seller until the date that is six months following the Rabbit Walk Closing.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Galaxy Digital Securities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September 26, 2025, the Company entered into a Securities Purchase Agreement with Galaxy Digital LP (the “Galaxy Securities Purchase Agreement”). Galaxy Digital LP is an affiliate of Galaxy Digital Capital Management LP (“Galaxy Digital Capital Management”), which serves as an asset manager and strategic advisor of K Wave.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Galaxy Securities Purchase Agreement, on January 21, 2026, the Company issued and sold to Galaxy Digital LP (i) 400,000 Ordinary Shares for an aggregate purchase price of $1,000,000, and (ii) warrants to purchase 200,000 Ordinary Shares (the “Galaxy Warrants”).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Galaxy Warrants provide Galaxy Digital LP the right to purchase an aggregate of 200,000 Ordinary Shares at an exercise price of $2.75 per Ordinary Share (subject to customary adjustment provisions in the Warrants, including adjustments upon dividends by the Company of Ordinary Shares and upon any stock splits or share subdivisions effectuated by the Company) and are immediately exercisable. The Galaxy Warrants expire on the fifth anniversary of the date of the Galaxy Digital Securities Purchase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Galaxy Warrants, Galaxy Digital LP will not have the right to exercise the Galaxy Warrants, to the extent that after giving effect to the exercise, Galaxy Digital LP and certain of its affiliates would beneficially own in excess of 4.99% of the number of Ordinary Shares outstanding immediately after giving effect to the exercise.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Galaxy Warrants may be exercised by Galaxy Digital LP by paying the exercise price in cash or on a cashless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From Nasdaq Regarding Minimum Bid Requirement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7, 2026, the Company received a letter from the Listing Qualifications staff of Nasdaq notifying the Company that, based on the closing bid price of the Company for the period from November 20, 2025 to January 6, 2026, the Company no longer meets the continued listing requirement of Nasdaq, under Nasdaq Listing Rules 5550(a)(2), to maintain a minimum bid price of $1 per share.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Nasdaq Listing Rule 5810(c)(3)(A), the Company has a compliance period of 180 calendar days, or until July 6, 2026 (the “Compliance Period”), to regain compliance with Nasdaq’s minimum bid price requirement. If at any time during the Compliance Period, the closing bid price per share of the Company’s ordinary shares is at least $1.00 for a minimum of ten consecutive business days, Nasdaq will provide the Company a written confirmation of compliance and this matter will be closed.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the Company does not regain compliance in the Compliance Period, the Company may be eligible for an additional 180 calendar days to demonstrate compliance with the bid price requirement, provided that the Company meets the continued listing requirement for market value of publicly held shares and all other initial listing standards for The Nasdaq Capital Market, with the exception of the bid price requirement, and is able to provide written notice of its intention to cure the deficiency during the second compliance period, by effecting a reverse stock split, if necessary.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currently evaluating options to regain compliance, including by way of a reverse stock split which is the subject of shareholder approval at the 2026 Annual General Meeting of the Company scheduled for July 11, 2026, and intends to timely regain compliance with Nasdaq’s continued listing requirement. Although the Company will use all reasonable efforts to achieve compliance with Rule 5550(a)(2), there can be no assurance that the Company will be able to regain compliance with that rule or will otherwise be in compliance with other Nasdaq continued listing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Market Value of Publicly Held Shares Deficiency Letter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16, 2026, the Company received a letter from the Listing Qualifications staff of The Nasdaq Stock Market (“Nasdaq”) notifying the Company that, for the period from May 4, 2026 to June 15, 2026, the Company’s Ordinary Shares did not meet the minimum $15,000,000 Market Value of Publicly Held Shares (“MVPHS”) requirement for continued listing on Nasdaq pursuant to Nasdaq Listing Rules 5450(b)(2&amp;3)(C) (the “MVPHS Requirement”).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Nasdaq Listing Rule 5810(c)(3)(D), the Company has a compliance period of 180 calendar days, or until December 14, 2026 (the “Compliance Period”), to regain compliance with the MVPHS Requirement. If at any time during the Compliance Period, the Company’s MVPHS closes at $15 million or more for a minimum of ten consecutive business days, Nasdaq will provide the Company a written confirmation of compliance and this matter will be closed.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the Company does not regain compliance with the MVPHS Requirement during the Compliance Period, Nasdaq will provide written notification that the Company’s securities will be subject to delisting. In the event of such notification, the Nasdaq rules permit the Company an opportunity to appeal Nasdaq’s determination. Alternatively, the Company may be eligible to transfer the listing of its securities to the Nasdaq Capital Market (the “Capital Market”), provided that the Company then satisfies the requirements for continued listing on the Capital Market.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currently evaluating options to regain compliance and intends to timely regain compliance with the MVPHS Requirement and intends to submit to Nasdaq a comprehensive plan to regain compliance in June 2026. Although the Company will use all reasonable efforts to achieve compliance with the MVPHS Requirement, there can be no assurance that the Company will be able to regain compliance with the MVPHS Requirement or will otherwise be in compliance with other Nasdaq continued listing requirements.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Hansol Shares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19, 2025, Playverse Co. Ltd. (“Playverse”), a subsidiary of Play Company, entered into a Share Purchase Agreement (the “Hansol Purchase Agreement”) with Hansol Holdings Co., Ltd. (“Hansol Holdings”), Lee Mi-sung and Cho Hyun-seung (collectively, the “Hansol Sellers”), pursuant to which Playverse agreed to purchase from the Hansol Sellers and the Hansol Sellers agreed to sell to Playverse an aggregate of 5,864,088 shares common stock (the “Hansol Shares”) of Hansol Inticube Co., an AI language and software development company with core capabilities in AI contact center solutions, voice recognition, chatbots, smart solutions and platform technologies (“Hansol”).</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March 10, 2026, Playverse consummated the purchase of the Hansol Shares pursuant to the terms and conditions of the Hansol Purchase Agreement. The Hansol Shares represent approximately 42.25% of the outstanding shares of common stock of Hansol.</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Hansol Purchase Agreement, the aggregate purchase price for the Hansol Shares was KRW15,000,337,104. The Hansol Purchase Agreement contained customary representations, warranties and covenants by the parties and customary indemnification obligations of the parties.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Hansol Purchase Agreement, Hansol Holdings caused Hansol to convene an annual general meeting of Hansol’s shareholders for the purpose of electing individuals designated by the Company to serve as members of the Hansol board of directors, and such Company designees now hold a majority of the seats on the Hansol board of directors.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4, 2026, the Company announced that its Board of Directors had approved the disposition of Play Company to its previous owner. The proposed disposition is subject to shareholder approval at the Company’s 2026 annual general meeting of its stockholders, scheduled to occur on July 10, 2026. Hansol is an indirect subsidiary of the Company through Play Company. As such, if the disposition of Play Company is approved by the Company’s shareholders and the transaction is consummated, then Hansol will not longer be a subsidiary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HYBE Supply and Distribution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3, 2026, Play Company entered into a Supply and Distribution Agreement (the “HYBE Supply and Distribution Agreement”) with HYBE Co., Ltd., a South Korean based entertainment company focusing on music production, artist management and technology-driven fan platforms (“HYBE”), pursuant to which HYBE granted to Play Company a worldwide priority right to purchase and distribute video publications and printed materials produced by HYBE for distribution by Play Company and relating to certain concerts of musical groups BTS, Seventeen, Tomorrow X Together and LE SSERAFIM (collectively, the “HYBE Products”).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HYBE Supply and Distribution Agreement, Play Company will purchase, distribute, and sell the HYBE Products at its own cost and risk through online and offline channels, including third-party distribution channels.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term of the HYBE Supply and Distribution Agreement commenced on April 3, 2026 and will continue for one year, unless extended by mutual agreement of Play Company and HYBE. Either party may terminate the HYBE Supply and Distribution Agreement upon the other party’s insolvency or material breach of the HYBE Supply and Distribution Agreement which is not cured within ten business days of such material breach. The HYBE Supply and Distribution Agreement contains customary indemnification obligations of the 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Partnership Agreement with IGIS Global Properties, LLC</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30, 2026, the Company entered into a Strategic Partnership Agreement with IGIS Global Properties, LLC (“IGIS Global”), a wholly owned subsidiary of IGIS Asset Management, Co., pursuant to which IGIS Global will (i) identify and evaluate investment opportunities in data centers and other AI infrastructure projects in the United States and overseas for a sole purpose of investing with the Company; (ii) identify and partner up with the best-in-class operators capable of developing data centers and AI infrastructure projects in the United States and/or overseas; and (iii) co-develop or co-invest in selected opportunities together with the Company. The agreement shall remain in effect for thirty-six (36) months, unless earlier terminated by either Party upon written notice.</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Proposed Disposition of Play Company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4, 2026, the Company announced that its Board of Directors had approved the disposition of Play Company to its previous owner. The proposed disposition is subject to shareholder approval at the Company’s 2026 annual general meeting of its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 of Bitcoin Holdings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6, 2026, the Company sold all of its bitcoin holdings for an aggregate of $64,221,193. While the Company has not abandoned its treasury strategy, the Company has determined to halt its treasury strategy and focus on investing in AI infrastructure.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 of Solaire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31, 2023, K Enter entered into that certain Equity Purchase Agreement (the “Solaire Purchase Agreement”), by and among K Enter and Pyungho Choi, Youngjae Lee, Hyojeong Song, CY Holdings Co., Ltd., Soogyeong Park, Nayoung Hyun, Myeonghyeon Lee and Minsoo Kim (collectively, the “Solaire Sellers”), pursuant to which the Company purchased from the Solaire Sellers an aggregate of 95% of the equity interests (collectively, the “Solaire Equity”) in Solaire Partners LLC (“Solaire”). In consideration of the Solaire Equity, the Company issued to the Solaire Sellers an aggregate of 9,827,057 of the Company’s Ordinary Shares, par value $0.0001 per share (“Ordinary Shares”). Mr. Pyeungho Choi currently serves as Chairman of the Company’s Board of Directors.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29, 2026, the Company entered into a Rescission and Termination Agreement (the “Rescission Agreement”), by and among the Company and Pyungho Choi, Youngjae Lee, CY Holdings Co., Ltd., Soogyeong Park, Myeonghyeon Lee and Minsoo Kim (collectively, the “Rescission Sellers”), pursuant to which the Company and the Rescission Sellers agreed to terminate and rescind the Solaire Purchase Agreement, the Company agreed to transfer the Solaire Equity to the Rescission Sellers within 60 days of the execution of the Rescission Agreement, and the Rescission Sellers agreed to transfer 9,827,057 Ordinary Shares to the Company within 60 days of the execution of the Rescission Agreement. Additionally, pursuant to the Rescission Agreement, Pyeungho Choi agreed to resign from, and as Chairman of, the Company’s Board of Directors within 60 days of the execution of the Rescission Agreement, subject to the consummation of the transfers of the Shares and the 9,827,057 Ordinary Shares under the Rescission Agreement. The Rescission Agreement contains a mutual release, pursuant to which Company and the Rescission Sellers released each other from all claims relating to the Solaire Purchase Agreement.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Investing in any securities offered pursuant to this prospectus and the applicable prospectus supplement involves risks. You should carefully consider the risk factors set forth in our most recent Annual Report on Form 20-F incorporated by reference into this prospectus and in our updates, if any, to those risk factors in our reports on Form 6-K incorporated by reference into this prospectus, and all other information contained or incorporated by reference into this prospectus, as updated by our subsequent filings under the Exchange Act of 1934,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intend to use the net proceeds from the sale of the securities as set forth in the applicable prospectus supplement(s).</w:t>
      </w:r>
    </w:p>
    <w:p>
      <w:pPr>
        <w:spacing w:after="0" w:line="34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 AND ARTICLES OF ASSOCIATION</w:t>
      </w:r>
    </w:p>
    <w:p>
      <w:pPr>
        <w:spacing w:after="0" w:line="22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of the material terms of our share capital is not intended to be a complete summary of the rights and preferences of such securities, and should be read together with the Company’s Amended and Restated Memorandum and Articles of Association dated March 12, 2025 (the “Memorandum and Articles of Association”). We urge you to read the Memorandum and Articles of Association in its entirety for a complete description of the rights and preferences of our share capital.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 Cayman Islands exempted company with limited liability (company number 401003). Our affairs are governed by our Memorandum and Articles of Association as amended and restated from time to time, the Companies Act (As Revised) of the Cayman Islands (the “Companies Act”), and the common law of the Cayman Islands.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objects for which the Company is established are unrestricted and the Company has full power and authority to carry out any object not prohibited by the laws of the Cayman Islands.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register of members is maintained by Continental Stock Transfer &amp; Trust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authorized share capital of the Company is US$100,000 divided into 990,000,000 Ordinary Shares of par value US$0.0001 each and 10,000,000 preference shares of par value US$0.0001 each. As of December 31, 2025, there were 64,221,193 Ordinary Shares issued and outstanding.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our issued and outstanding Ordinary Shares are fully paid and non-assessable. Certificates representing the Ordinary Shares are issued in registered form. The Company may not issue shares to bearer. Our shareholders who are non-residents of the Cayman Islands may freely hold and transfer their Ordinary Shares.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currently have only one class of issued Ordinary Shares, which have identical rights in all respects and rank equally with one another.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may provide for other classes of shares, including classes of preferred shares, out of our authorized but unissued share capital, which could be utilized for a variety of corporate purposes, including future offerings to raise capital for corporate purposes or for use in employee benefit plans. Such additional classes of shares may have such rights, restrictions, preferences, privileges and payment obligations as determined by our Board. If we issue any preferred shares, the rights, preferences and privileges of holders of our Ordinary Shares will be subject to, and may be adversely affected by, the rights of the holders of such preferred shares. See “</w:t>
      </w:r>
      <w:r>
        <w:rPr>
          <w:rFonts w:ascii="Times New Roman" w:cs="Times New Roman" w:eastAsia="Times New Roman" w:hAnsi="Times New Roman"/>
          <w:sz w:val="18"/>
          <w:szCs w:val="18"/>
          <w:i w:val="1"/>
          <w:iCs w:val="1"/>
          <w:color w:val="auto"/>
        </w:rPr>
        <w:t>Variations of Rights of Shares</w:t>
      </w:r>
      <w:r>
        <w:rPr>
          <w:rFonts w:ascii="Times New Roman" w:cs="Times New Roman" w:eastAsia="Times New Roman" w:hAnsi="Times New Roman"/>
          <w:sz w:val="18"/>
          <w:szCs w:val="18"/>
          <w:color w:val="auto"/>
        </w:rPr>
        <w:t>” below.</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2025, there were 64,221,193 Ordinary Shares issued and outstanding. In addition, as of December 31, 2025, there were 9,848,225 public warrants outstanding, 4,312,180 SPA Warrants outstanding and 200,000 Galaxy Warrants outstanding. The SPA Notes issued to the Anson Funds are convertible into Ordinary Shares at a conversion price of $4.40 per Ordinary Share. Each SPA Note also provides that, at any time after the issuance date of such SPA Note, the holder may, at its option, convert pursuant to an Alternate Conversion, all or any part of the outstanding principal and accrued and unpaid interest under such SPA Note into Ordinary Shares at a conversion price equal to 92% of the lowest daily volume weighted average price of the Ordinary Shares for such date (or the nearest preceding date) on the trading market on which the Ordinary Shares are then listed or quoted in the ten trading days prior to the applicable Alternate Conversion date.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holders of our Ordinary Shares are entitled to such dividends as may be declared by our Board subject to our Memorandum and Articles of Association and the Companies Act. No dividend or other distribution may be paid except out of the realized or unrealized profits of the Company, out of the share premium account or as otherwise permitted by law. No dividend may be declared and paid unless our Directors determine that, immediately after the payment, the Company will be able to pay its debts as they become due in the ordinary course of business and the Company has funds lawfully available for such purpose. Dividends and other distributions will be paid according to the par value of the shares that a shareholder holds.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Holders of Ordinary Shares are entitled to one vote for each share held of record on all matters to be voted on by shareholders. A quorum required for a meeting of shareholders consists of the holders of a majority of the shares being individuals present in person or by proxy or, if a corporation or other non-natural person, by its duly authorized representative or proxy. Voting at any meeting of shareholders is by poll and not on a show of hands.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special resolution will be required for important matters such as a merger or consolidation of the Company, change of name or making changes to our Memorandum and Articles of Association or the voluntary winding up of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adoption of any ordinary resolution by our shareholders requires the affirmative vote of a simple majority of the votes permitted to be cast by persons present (in person or by proxy) and voting at a general meeting at which a quorum is present, while a special resolution requires the affirmative vote of no less than two-thirds of the votes permitted to be cast by persons present (in person or by proxy) and voting at any such meeting, or, in each case, a unanimous resolution in writing.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approval of any ordinary resolution by our shareholders requires the affirmative vote of a simple majority of the votes cast by such shareholders who, being entitled to do so, attend (in person or by proxy) and vote at a general meeting at which a quorum is present, while a special resolution requires the affirmative vote of no less than two-thirds of the votes cast by such shareholders who, being entitled to do so, attend (in person or by proxy) and vote at any such meeting, or, in each case, a unanimous resolution in writing.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Memorandum and Articles of Association provide that at least five clear days’ notice shall be given of any general meeting. The notice must specify the place, the day and the hour of the meeting and the general nature of the business to be conducted at the general meeting. No business may be transacted at any general meeting unless a quorum is present. A quorum required for a meeting of shareholders consists of the holders of a majority of the shares being individuals present in person or by proxy or, if a corporation or other non-natural person, by its duly authorized representative or proxy.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our Memorandum and Articles of Association, all general meetings of the Company other than annual general meetings are called extraordinary general meetings. No business may be transacted at any general meeting other than business properly brought before the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General Meetings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Memorandum and Articles of Association provide that the Company may, but is not (unless required by the Companies Act) be obliged to, in each year hold a general meeting as its annual general meeting. Any annual general meeting will be held at such time and place as the Directors shall appoint. Members seeking to bring business before the annual general meeting or to nominate candidates for appointment as directors at the annual general meeting must deliver notice to the principal executive offices of the Company not less than 120 calendar days before the date of the Company’s proxy statement released to shareholders in connection with the previous year’s annual general meeting.</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Extraordinary General Meetings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Memorandum and Articles of Association provide that the Directors or the chairperson of our Board of Directors may call general meetings.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do not have the ability to call general meetings.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Variations of Rights of Shares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Memorandum and Articles of Association, if our share capital is divided into more than one class of shares, the rights attached to any such class may, whether or not the Company is being wound up, be varied without the consent of the holders of the issued shares of that class where such variation is considered by our Directors not to have a material adverse effect upon such rights; otherwise, any such variation may be made only with the consent in writing of the holders of not less than two thirds of the issued shares of that class or with the approval of a resolution passed by a majority of not less than two thirds of the votes cast at a separate meeting of the holders of the shares of that class.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is empowered to allot, issue, grant options over or otherwise dispose of shares with or without preferred, deferred, or other rights or restrictions. We currently have in place the K Wave 2024 Equity Incentive Plan under which awards in our Ordinary Shares can be granted to eligible participants.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Ordinary Shares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of our shareholders may transfer all or any of their Ordinary Shares by an instrument of transfer in the usual or common form or any other form prescribed by the stock exchange, the SEC and/or any other competent regulatory authority or otherwise under applicable law, or approved by our Board of Directors, subject to the applicable restrictions of our Memorandum and Articles of Association, such as the determination by the Directors that a proposed transfer is not eligible.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Threshold</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are no provisions under Cayman Islands law applicable to us, or under our Memorandum and Articles of Association, that require us to disclose shareholder ownership above any particular ownership threshold.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Non-Resident or Foreign Shareholders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are no limitations imposed by the Memorandum and Articles of Association on the rights of non-resident or foreign shareholders to hold or exercise voting rights on our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Some provisions of our Memorandum and Articles of Association may discourage, delay or prevent a change of control of K Wave or our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is wound up, the assets available for distribution amongst the shareholders will be distributed so that, as nearly as may be, the losses shall be borne by the shareholders in proportion to the par value of the shares held by them; or if the assets available for distribution is more than sufficient to repay the whole of the Company’s issued share capital at the commencement of the winding up, the surplus will be distributed amongst the shareholders in proportion to the par value of the shares held by them at the commencement of the winding up.</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Calls on Shares and Forfeiture of Shares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may from time to time make calls upon shareholders for any amounts unpaid on their shares in a notice served to such shareholders at least 14 days prior to the specified time of payment. The shares that have been called upon and remain unpaid are subject to forfeiture.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is vested in our Board of Directors. Our Memorandum and Articles of Association provide that questions arising at any meeting of Directors shall be decided by a majority of votes. In the case of an equality of votes, the chairperson shall have a second or casting vote. A resolution in writing signed by all the Directors will be as valid and effectual as if it had been passed at a meeting of the Directors duly convened and held. The quorum for the transaction of the business of the Directors may be fixed by the Directors, and unless so fixed shall be a majority of the Directors then in office.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Memorandum and Articles of Association provide that there shall be a Board of Directors consisting of not less than one person, provided that the Company may by ordinary resolution increase or reduce the limits in the number of Directors. The Directors are divided into three classes: Class I, Class II and Class III. The number of Directors in each class are to be as equal as possible. Directors appointed to succeed those Directors whose terms expire are appointed for a term of office to expire at the third succeeding annual general meeting after their appointment.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by ordinary resolution appoint any person to be a Director or may by ordinary resolution remove any Director. The Directors may also appoint any person to be a Director, either to fill a vacancy or as an additional Director. In the interim between annual general meetings, additional Directors and any vacancies in the Board of Directors, including unfilled vacancies resulting from the removal of Directors for cause, may be filled by the vote of a majority of the remaining Directors then in office, although less than a quorum, or by the sole remaining Director.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office of a Director shall be vacated if: (a) the Director gives notice in writing to the Company that they resign the office of Director; (b) the Director is absent from three consecutive meetings of the Board of Directors without special leave of absence from the Directors, and the Directors pass a resolution that they have by reason of such absence vacated office; (c) the Director dies, becomes bankrupt or makes any arrangement or composition with their creditors generally; (d) the Director is found to be or becomes of unsound mind; or (e) all of the other Directors (being not less than two in number) determine that the Director should be removed.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Directors hold office until the expiration of their respective terms of office and until their successors shall have been appointed and qualified. A Director appointed to fill a vacancy resulting from the death, resignation or removal of a Director will serve for the remainder of the full term of the Director whose death, resignation or removal created such vacancy and until their successor shall have been appointed and qualified.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is no cumulative voting with respect to the appointment of directors.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our Memorandum and Articles of Association, a Director may hold any other office or place of profit under the Company in conjunction with their office of Director. A Director may be or become a director or other officer of or otherwise interested in any company promoted by the Company or in which the Company may be interested. A Director will be at liberty to vote in respect of any contract or transaction in which they are interested provided that the nature of the interest of any Director in any such contract or transaction is disclosed by them at or prior to its consideration and any vote thereon.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directors are entitled to such remuneration as the Directors may from time to time determine.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 of Directors and Officers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Memorandum and Articles of Association provide that every Director and Officer shall be indemnified out of the assets of the Company against any liability, action, proceeding, claim, demand, costs, damages or expenses, including legal expenses, whatsoever which they may incur as a result of any act or failure to act in carrying out their functions other than such liability that they may incur by reason of their own actual fraud, willful neglect or willful default. The Company must advance to each indemnified person reasonable attorneys’ fees and other costs and expenses incurred in connection with the defense of any action, suit, proceeding or investigation.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Differences in Company Law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Cayman Islands companies are governed by the Companies Act. The Companies Act is modeled on English Law but does not follow recent English Law statutory enactments, and differs from laws applicable to United States corporations and their shareholders. Set forth below is a summary of the material differences between the provisions of the Companies Act applicable to us and the laws applicable to companies incorporated in the United States and their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certain circumstances, the Companies Act allows for mergers or consolidations between two Cayman Islands companies, or between a Cayman Islands exempted company and a company incorporated in another jurisdiction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it is permitted or not prohibited by the constitutional documents of the company incorporated in another jurisdiction and facilitated by the laws of that other jurisdiction).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Where the merger or consolidation is between two Cayman Islands companies, the directors of each company must approve a written plan of merger or consolidation containing certain prescribed information. That plan of merger or consolidation must then be authorized by (a) a special resolution (usually the affirmative vote of the holders of at least a two-thirds majority of the issued Shares of the Company that are present in person or represented by proxy and entitled to vote thereon and who vote at the general meeting) of the shareholders of each company; and (b) such other authorization, if any, as may be specified in such constituent company’s articles of association. Unless required by its articles of association, no shareholder resolution is required for a merger between a parent company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company that owns at least 90% of the issued shares of each class in a subsidiary company) and its subsidiary company if a copy of the plan of merger or consolidation is given to every member of the subsidiary company unless that member agrees otherwise.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of a constituent company must be obtained, unless the Cayman Islands court waives such requirement or makes such order as the Cayman Islands court otherwise considers reasonable. If the Registrar of Companies of the Cayman Islands is satisfied that the requirements of the Companies Act (which includes certain other formalities) have been complied with, the Registrar of Companies of the Cayman Islands will register the plan of merger or consolidation.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After obtaining the relevant authorizations and consents, a director of each Cayman Islands company must sign the plan of merger or consolidation on behalf of their company and file the plan with the Registrar of Companies together with prescribed documents such as certificates of good standing, director’s declarations that, among other things: (a) the constituent company is, and the consolidated or surviving company will be, immediately after merger or consolidation, able to pay its debts as they fall due; (b) that the merger or consolidation is bona fide and not intended to defraud unsecured creditors of the constituent companies; and that (c)(i) no petition or other similar proceeding has been filed and remains outstanding or order made or resolution adopted to wind up the company in any jurisdiction; (iii) no receiver, trustee, administrator or other similar person has been appointed in any jurisdiction and is acting in respect of the constituent company, its affairs or its property or any part thereof; and (iv) no scheme, order, compromise or other similar arrangement has been entered into or made in any jurisdiction whereby the rights of creditors of any constituent company are and continue to be suspended or restricted.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Where the merger or consolidation involves a foreign company and the surviving company is the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the jurisdiction in which the foreign company is existing; (iii) that no receiver, trustee, administrator or other similar person has been appointed in any jurisdiction and is acting in respect of the foreign company, its affairs or its property or any part thereof; and (iv) that no scheme, order, compromise or other similar arrangement has been entered into or made in any jurisdiction whereby the rights of creditors of the foreign company are and continue to be suspended or restricted.</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Where the surviving company is the Cayman Islands exempted company, in addition to the above declarations, the directors of the Cayman Islands exempted company are further required to make a declaration to the effect that, having made due enquiry, they are of the opinion that the requirements set out below have been met: (i) that the foreign company is able to pay its debts as they fall due and that the merger or consolidation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Where the above procedures are adopted, the Companies Act provides for a right of dissenting shareholders to be paid a payment of the fair value of their shares upon their dissenting to the merger or consolidation if they follow a prescribed procedure. In essence, that procedure is as follows: (a) the shareholder must give their written objection to the merger or consolidation to the constituent company before the vote on the merger or consolidation, including a statement that the shareholder proposes to demand payment for their shares if the merger or consolidation is authorized by the vote; (b) within 20 days following the date on which the merger or consolidation is approved by the shareholders, the constituent company must give written notice of such approval to each shareholder who made a written objection; (c) a shareholder must within 20 days following receipt of such notice from the constituent company, give the constituent company a written notice of their intention to dissent including, among other details, a demand for payment of the fair value of their shares; (d) within seven days following the date of the expiration of the period set out in paragraph (c) above or within seven days following the date on which the plan of merger or consolidation is filed, whichever is later, the constituent company, the surviving company or the consolidated company must make a written offer to each dissenting shareholder to purchase their shares at a price that the company determines is the fair value and if the company and the shareholder agree the price within 30 days following the date on which the offer was made, the company must pay the shareholder such amount; and (e) if the company and the shareholder fail to agree a price within such 30 day period, within 20 days following the date on which such 30 day period expires, the company (and any dissenting shareholder may) shall file a petition with the Cayman Islands courts to determine the fair value and such petition must be accompanied by a list of the names and addresses of the dissenting shareholders with whom agreements as to the fair value of their shares have not been reached by the company. At the hearing of that petition, the Cayman Islands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where the consideration for such shares are shares of any company listed on a national securities exchange or shares of the surviving or consolidated company.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Moreover, Cayman Islands law has separate statutory provisions that facilitate the reconstruction or amalgamation of companies in certain circumstances, that will generally be more suited for complex mergers or other transactions involving widely held companies. Such transactions, commonly referred to in the Cayman Islands as a “scheme of arrangement,”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(i) in respect a scheme of arrangement proposed between a company and its shareholders (or any class of shareholder), three fourths in value of the shareholders (or each class of shareholder) who attend and vote, either in person or by proxy, at a meeting (or meetings) convened for that purpose; or (ii) in respect of a scheme of arrangement proposed between a company and its creditors (or any class of creditors), a majority in number representing three fourths in value of the creditors (or each class of creditors) who attend and vote, either in person or by proxy, at a meeting (or meetings) convened for that purpose. The convening of the meetings and subsequently the terms of the arrangement must be sanctioned by the Cayman Islands court. While a dissenting shareholder would have the right to express to the Cayman Islands court the view that the scheme of arrangement should not be sanctioned, the Cayman Islands court may be expected to sanction the scheme of arrangement if it satisfies itself that:</w:t>
      </w:r>
    </w:p>
    <w:p>
      <w:pPr>
        <w:spacing w:after="0" w:line="190" w:lineRule="exact"/>
        <w:rPr>
          <w:sz w:val="20"/>
          <w:szCs w:val="20"/>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proposing to act illegally or beyond the scope of its corporate authority and the statutory provisions as to majority vote have been complied with;</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as a businessman would reasonably approve;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 or that would amount to a “fraud on the minority.”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scheme of arrangement is sanctioned by the Cayman Islands court, the scheme of arrangement will be binding on all of the shareholders (or each class of shareholder) or creditors (or each class of creditor).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scheme of arrangement or takeover offer (as described below) is sanctioned by the Cayman Islands court,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Squeeze-out Provisions</w:t>
      </w:r>
    </w:p>
    <w:p>
      <w:pPr>
        <w:spacing w:after="0" w:line="229"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When a takeover offer is made and accepted by holders of not less than 90% of the shares to whom the offer relates within four months, the offeror may, within a two-month period, require the holders of the remaining shares to transfer such shares on the terms of the offer. An objection can be made to the Cayman Islands courts, but this is unlikely to succeed unless there is evidence of fraud, bad faith, collusion or inequitable treatment of the shareholders.</w:t>
      </w:r>
    </w:p>
    <w:p>
      <w:pPr>
        <w:spacing w:after="0" w:line="15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Suits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Maples and Calder (Cayman) LLP, our Cayman Islands legal counsel, is not aware of any reported class action having been brought in a Cayman Islands court.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spacing w:after="0" w:line="187"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is acting, or proposing to act, illegally or beyond the scope of its authority;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beyond the scope of the authority, could be effected if duly authorized by more than the number of votes which have actually been obtained;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shareholder may have a direct right of action against us where the individual rights of that shareholder have been infringed or are about to be infringed.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Enforcement of Civil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Cayman Islands has a different body of securities laws as compared to the United States and provides less protection to 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Cayman Islands companies may not have standing to sue before the Federal courts of the United States.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been advised by Maples and Calder (Cayman) LLP, our Cayman Islands legal counsel, that the courts of the Cayman Islands are unlikely</w:t>
      </w:r>
    </w:p>
    <w:p>
      <w:pPr>
        <w:spacing w:after="0" w:line="27" w:lineRule="exact"/>
        <w:rPr>
          <w:sz w:val="20"/>
          <w:szCs w:val="20"/>
          <w:color w:val="auto"/>
        </w:rPr>
      </w:pPr>
    </w:p>
    <w:p>
      <w:pPr>
        <w:jc w:val="both"/>
        <w:ind w:firstLine="8"/>
        <w:spacing w:after="0" w:line="251" w:lineRule="auto"/>
        <w:tabs>
          <w:tab w:leader="none" w:pos="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Considerations for Exempted Companies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resident company except for the exemptions and privileges listed below:</w:t>
      </w:r>
    </w:p>
    <w:p>
      <w:pPr>
        <w:spacing w:after="0" w:line="180"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file an annual return of its shareholders with the Registrar of Companies of the Cayman Islands;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company’s register of members is not open to inspection;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hold an annual general meeting;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issue shares with no par value;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obtain an undertaking against the imposition of any future taxation (such undertakings are usually given for 30 years in the first instance);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by way of continuation in another jurisdiction and be deregistered in the Cayman Islands;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limited duration company;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segregated portfolio company.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Executive Officers and Limitation of Liability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willful default, willful neglect, actual fraud or the consequences of committing a crime. Our Memorandum and Articles of Association permit indemnification of officers and directors, to the fullest extent permitted under the laws of the Cayman Islands, for any liability and loss suffered and expenses, including legal expenses, incurred in their capacities as such in connection with any action, suit or proceeding, where civil, administrative or investigative. This standard of conduct is generally the same as permitted under the Delaware General Corporation Law for a Delaware corporation. In addition, we have entered into indemnification agreements with our directors that will provide such persons with additional indemnification beyond that provided in our Memorandum and Articles of Association.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 The duty of loyalty requires that a director act in a manner he or she reasonably believes to be in the best interests of the corporation. A director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Cayman Islands law, directors and officers owe the following fiduciary duties:</w:t>
      </w:r>
    </w:p>
    <w:p>
      <w:pPr>
        <w:spacing w:after="0" w:line="225"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act in good faith in what the director or officer believes to be in the best interests of the company as a whole;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powers for the purposes for which those powers were conferred and not for a collateral purpose;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should not improperly fetter the exercise of future discretion;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powers fairly as between different sections of shareholders;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not to put themselves in a position in which there is a conflict between their duty to the company and their personal interests;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to exercise independent judgment.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Memorandum and Articles of Association or alternatively by shareholder approval at general meetings.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eliminate the right of shareholders to act by written consent by amendment to its certificate of incorporation. Our Memorandum and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Under our Memorandum and Articles of Association, the Directors or the chairperson of the Board of Directors may call general meetings, and members do not have the ability to call general meetings. Members seeking to bring business before the annual general meeting or to nominate candidates for appointment as directors must deliver notice to the principal executive offices of the Company not less than 120 calendar days before the date of the Company’s proxy statement released to members in connection with the previous year’s annual general meeting.</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Cayman Islands law, our Memorandum and Articles of Association do not provide for cumulative voting. As a result, our shareholders are not afforded any less protections or rights on this issue than shareholders of a Delaware corporation.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Delaware General Corporation Law, a director of a corporation may be removed for cause with the approval of a majority of the issued and outstanding shares entitled to vote, unless the certificate of incorporation provides otherwise. Under our Memorandum and Articles of Association, the Company may by ordinary resolution appoint any person to be a Director or may by ordinary resolution remove any Director. The office of a Director shall also be vacated if (i) the Director gives notice in writing to the Company that they resign; (ii) the Director is absent from three consecutive meetings of the Board of Directors without special leave of absence from the Directors, and the Directors pass a resolution that they have by reason of such absence vacated office; (iii) the Director dies, becomes bankrupt or makes any arrangement or composition with their creditors generally; (iv) the Director is found to be or becomes of unsound mind; or (v) all of the other Directors (being not less than two in number) determine that the Director should be removed.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corporations whereby, unless the corporation has specifically elected not to be governed by such statute under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Dissolution; Winding Up</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Memorandum and Articles of Association, if the Company is wound up, the liquidator of our company may distribute the assets with the sanction of a special resolution of the shareholders and any other sanction required by law.</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 otherwise.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Memorandum and Articles of Association, if our share capital is divided into more than one class of shares, the rights attached to any such class may, whether or not the Company is being wound up, be varied without the consent of the holders of the issued shares of that class where such variation is considered by our directors not to have a material adverse effect upon such rights; otherwise, any such variation shall be made only with the consent in writing of the holders of not less than two thirds of the issued shares of that class or with the approval of a resolution passed by a majority of not less than two thirds of the votes cast at a separate meeting of the holders of the shares of that class.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on the matter, unless the certificate of incorporation provides otherwise. As permitted by Cayman Islands law, the Memorandum and Articles of Association may only be amended by a special resolution of the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Power to Issue Shares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Subject to applicable law, our Board of Directors is empowered to issue or allot shares or grant options and warrants with or without preferred, deferred, or other rights or restrictions.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any shareholder of a corporation may for any proper purpose inspect or make copies of the corporation’s stock ledger, list of shareholders and other books and records.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Holders of our shares have no general right under Cayman Islands law to inspect or obtain copies of our register of members or our corporate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Waiver of Certain Corporate Opportunities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Memorandum and Articles of Association, the Company has renounced any interest or expectancy of the Company in, or in being offered an opportunity to participate in, certain opportunities where such opportunities come into the possession of one of our directors other than in his or her capacity as a director (as more particularly described in the Memorandum and Articles of Association). This is subject to applicable law and may be waived by the relevant director.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our Ordinary Shares is Continental Stock Transfer &amp; Trust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Ordinary Shares and public warrants are listed on the Nasdaq Stock Market LLC under the symbols “KWM” and “KWMWW,” respectively.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PREFERRED SHARES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authorized share capital of the Company is $100,000 divided into 990,000,000 Ordinary Shares of par value $0.0001 each and 10,000,000 preference shares of par value $0.0001 each. Our Memorandum and Articles of Association provide that our Board may provide for other classes of shares, including classes of preferred shares, out of our authorized but unissued share capital, which could be utilized for a variety of corporate purposes, including future offerings to raise capital for corporate purposes or for use in employee benefit plans. Such additional classes of shares may have such rights, restrictions, preferences, privileges and payment obligations as determined by our Board. If we issue any preferred shares, the rights, preferences and privileges of holders of our Ordinary Shares will be subject to, and may be adversely affected by, the rights of the holders of such preferred shares.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particular terms of any issue of preferred shares will be described in the prospectus supplement relating to the issue. Those terms may include:</w:t>
      </w:r>
    </w:p>
    <w:p>
      <w:pPr>
        <w:spacing w:after="0" w:line="225"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number of preferred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per preferred share (or if applicable, the calculation formula of the issue price per preferred share);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on the preferred shares, the dividend payment dates, the periods in respect of which dividends are payable, whether such dividends shall be cumulative and, if cumulative, the date or dates from which dividends shall accumulate;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shall be convertible into, or exchangeable for, Ordinary Shares or preferred shares of another category, and, if applicable, conditions of an automatic conversion into Ordinary Shares, if any, the conversion period, the conversion price, or how such price will be calculated, and under what circumstances it may be adjusted;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preferred share,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restrictions on transfer, sale or assignment,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the material Cayman Islands or United States federal income tax considerations applicable to the preferred shares;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rights, preferences, privileges, qualifications or restrictions of the preferred shares.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When we issue preferred shares under this prospectus and the applicable prospectus supplement, the preferred shares will be fully paid and non-assessable and will not have, or be subject to, any pre-emptive or similar rights.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issuance of preferred shares could adversely affect the voting power of holders of our Ordinary Shares and reduce the likelihood that holders of our Ordinary Shares will receive dividend payments and payments upon liquidation. The issuance could have the effect of decreasing the market price of our Ordinary Shares. The issuance of preferred shares also could delay, deter or prevent a change in control of the Company, or make removal of management more difficult. As of the date of this prospectus, there are no issued and outstanding preferred shares of any series.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series of debt securities, which may include debt securities exchangeable for or convertible into Ordinary Shares. When we offer to sell a particular series of debt securities, we will describe the specific terms of that series in a supplement to this prospectus. The following description of debt securities will apply to the debt securities offered by this prospectus unless we provide otherwise in the applicable prospectus supplement. The applicable prospectus supplement for a particular series of debt securities may specify different or additional terms.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debt securities offered by this prospectus may be secured or unsecured, and may be senior debt securities, senior subordinated debt securities or subordinated debt securities. The debt securities offered by this prospectus may be issued under an indenture between us and the trustee under the indenture. The indenture may be qualified under, subject to, and governed by, the Trust Indenture Act of 1939, as amended. The following description is a summary of selected provisions relating to the debt securities that we may issue. The summary is not complete. The terms of each series of debt securities will be established by or pursuant to a resolution of our Board of Directors and detailed or determined in the manner provided in a Board of Directors’ resolution, an officers’ certificate and by a supplemental indenture. The particular terms of each series of debt securities will be described in a prospectus supplement relating to the series, including any pricing supplement, which may modify or replace the general terms described in this section.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any amount of debt securities under the indenture, which may be in one or more series with the same or different maturities, at par, at a premium or at a discount. We will set forth in a prospectus supplement, including any related pricing supplement, relating to any series of debt securities being offered, the offering price, the aggregate principal amount offered and the terms of the debt securities, including, among other things, the following:</w:t>
      </w:r>
    </w:p>
    <w:p>
      <w:pPr>
        <w:spacing w:after="0" w:line="180"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aggregate principal amount) at which we will sell the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we will repay the principal on the debt securities and the right, if any, to extend the maturity of the debt securities;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be payable and any regular record date for any interest payment date;</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premium, and interest on the debt securities will be payable, and where the debt securities of the series that are convertible or exchangeable may be surrendered for conversion or exchange;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or right we have to redeem the debt securities pursuant to any sinking fund or analogous provisions or at the option of holders of the debt securities or at our option, and the terms and conditions upon which we are obligated to or may redeem the debt securities;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repurchase the debt securities at the option of the holders of debt securities, the dates on which and the price or prices at which we will repurchase the debt securities and other detailed terms and provisions of these repurchase obligations;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described in the indenture with respect to the debt securities and any change in the acceleration provisions described in the indenture with respect to the debt securities;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described in the indenture with respect to the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senior or subordinated and any applicable subordination provisions;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the material Cayman Islands or United States federal income tax considerations applicable to the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modify any provisions of the indenture as it applies to that series;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debt securities that are exchangeable for and/or convertible into Ordinary Shares or preferred shares. The terms, if any, on which the debt securities may be exchanged and/or converted will be set forth in the applicable prospectus supplement. Such terms may include provisions for exchange or conversion, which can be mandatory, at the option of the holder or at our option, and the manner in which the number of Ordinary Shares or other securities to be received by the holders of debt securities would be calculated.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U.S. federal income tax considerations, and other special considerations applicable to any of these debt securities in the applicable prospectus supplement. 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specific terms and other information with respect to that issue of debt securities and such foreign currency or currencies or foreign currency unit or units in the applicable prospectus supplement.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issue debt securities of a series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unless we otherwise specify in the applicable prospectus supplement.</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issue and offer warrants under the material terms and conditions described in this prospectus and any accompanying prospectus supplement. The accompanying prospectus supplement may add, update or change the terms and conditions of the warrants as described in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our Ordinary Shares or debt securities. Warrants may be issued independently or together with any securities and may be attached to or separate from those securities. The warrants will be issued under warrant agreements to be entered into between us and a bank or trust company, as warrant agent, all of which will be described in the prospectus supplement relating to the warrants we are offering. The warrant agent will act solely as our agent in connection with the warrants and will not have any obligation or relationship of agency or trust for or with any holders or beneficial owners of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Warrants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equity warrant issued by us will entitle its holder to purchase the equity securities designated at an exercise price set forth in, or to be determinable as set forth in, the related prospectus supplement. Equity warrants may be issued separately or together with equity securities.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equity warrants are to be issued under equity warrant agreements to be entered into between us and one or more banks or trust companies, as equity warrant agent, as will be set forth in the applicable prospectus supplement and this prospectus.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particular terms of the equity warrants, the equity warrant agreements relating to the equity warrants and the equity warrant certificates representing the equity warrants will be described in the applicable prospectus supplement, including, as applicable:</w:t>
      </w:r>
    </w:p>
    <w:p>
      <w:pPr>
        <w:spacing w:after="0" w:line="162"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equity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equity warrants and the aggregate amount of equity securities purchasable upon exercise of the equity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equity securities with which the equity warrants are issued, and the amount of equity warrants issued with each equity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equity warrants and the related equity security will be separately transferable;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equity warrants that may be exercised at any one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equity warrants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the material Cayman Islands or United States federal income tax considerations applicable to the equity warrants;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equity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call provisions, if any, applicable to the equity warrants;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equity warrants, including terms, procedures and limitations relating to the exchange and exercise of the equity warrants.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Holders of equity warrants will not be entitled, solely by virtue of being holders, to vote, to consent, to receive dividends, to receive notice as shareholders with respect to any meeting of shareholders for the election of directors or any other matters, or to exercise any rights whatsoever as a holder of the equity securities purchasable upon exercise of the equity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debt warrant issued by us will entitle its holder to purchase the debt securities designated at an exercise price set forth in, or to be determinable as set forth in, the related prospectus supplement. Debt warrants may be issued separately or together with debt securities.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debt warrants are to be issued under debt warrant agreements to be entered into between us, and one or more banks or trust companies, as debt warrant agent, as will be set forth in the applicable prospectus supplement and this prospectus.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particular terms of each issue of debt warrants, the debt warrant agreement relating to the debt warrants and the debt warrant certificates representing debt warrants will be described in the applicable prospectus supplement, including, as applicable:</w:t>
      </w:r>
    </w:p>
    <w:p>
      <w:pPr>
        <w:spacing w:after="0" w:line="162"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aggregate principal amount and terms of the debt securities purchasable upon exercise of the debt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terms of any related debt securities with which the debt warrants are issued and the amount of the debt warrants issued with each debt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debt warrants and the related debt securities will be separately transferable;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purchasable upon exercise of each debt warrant and the price at which that principal amount of debt securities may be purchased upon exercise of each debt warrant;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warrants that may be exercised at any one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debt warrants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the material Cayman Islands or United States federal income tax considerations applicable to the debt warrants;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warrants represented by the debt warrant certificates will be issued in registered or bearer form, and, if registered, where they may be transferred and registered;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debt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call provisions, if any, applicable to the debt warrants;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debt warrants, including terms, procedures and limitations relating to the exchange and exercise of the debt warrants.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Debt warrant certificates will be exchangeable for new debt warrant certificates of different denominations and, if in registered form, may be presented for registration of transfer, and debt warrants may be exercised at the corporate trust office of the debt warrant agent or any other office indicated in the related prospectus supplement. Before the exercise of debt warrants, holders of debt warrants will not be entitled to payments of principal of, premium, if any, or interest, if any, on the debt securities purchasable upon exercise of the debt warrants, or to enforce any of the covenants in the indentures governing such debt securities.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summary description of the rights to subscribe for Ordinary Shares (the “Rights”), and any description of rights in the applicable prospectus supplement, does not purport to be complete and is subject to, and qualified in its entirety by reference to, the applicable rights agreement and provisions of the certificate evidencing the Rights that will be filed with the SEC in connection with the offering of such Rights.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issue Rights that the Company may offer to its securityholders from time to time. The Rights may or may not be transferable by the persons purchasing or receiving the Rights. In connection with any Rights offering, the Company may enter into a standby underwriting or other arrangement with one or more underwriters or other persons pursuant to which such underwriters or other persons would purchase any offered securities remaining unsubscribed for after such Rights offering.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series of Rights will be issued under a separate rights agent agreement to be entered into between the Company and a bank or trust company, as rights agent, that the Company will name in the applicable prospectus supplement. The rights agent will act solely as the Company’s agent in connection with the Rights and will not assume any obligation or relationship of agency or trust for or with any holders of rights certificates or beneficial owners of Rights.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Rights that the Company may offer from time to time will describe specific terms relating to the offering, including, among other matters:</w:t>
      </w:r>
    </w:p>
    <w:p>
      <w:pPr>
        <w:spacing w:after="0" w:line="162"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securityholders entitled to the Rights distribution;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 and the aggregate number of ordinary shares purchasable upon exercise of the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Rights become exercisable and the date on which the Rights will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include an over-subscription privilege with respect to unsubscribed Securities;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the material Cayman Islands and/or United States federal income tax considerations applicable to the issuance or exercise of such Rights;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other purchase arrangement that the Company may enter into in connection with the Rights offering;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of the Rights, including terms, transferability, conditions to completion of the Rights offering, procedures and limitation relating to the exchange and exercise of such Rights.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Right would entitle the holder of the Rights to subscribe for cash the principal amount of ordinary shares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 (unless subject to subscription by another third party pursuant to the terms of such rights offering as described in the relevant prospectus supplement).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less than all of the Rights issued in any Rights offering are exercised, the Company may offer any unsubscribed securities directly to persons other than the Company’s securityholders, to or through agents, underwriters or dealers or through a combination of such methods, including pursuant to standby arrangements, as described in the applicable prospectus supplement.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162"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the material Cayman Islands and United States federal income tax considerations applicable to the units;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Material tax consequences relating to the purchase, ownership and disposition of any of the securities registered by this prospectus will be set forth in any applicable prospectus supplement relating to the offering of such securities.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offer and sell the securities being offered hereby in one or more of the following ways from time to time:</w:t>
      </w:r>
    </w:p>
    <w:p>
      <w:pPr>
        <w:spacing w:after="0" w:line="225"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securities exchange or quotation service on which the securities may be listed or quoted at the time of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 than on these exchanges or systems or in the over-the-counter market;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under the Securities Act, to or through a market maker or into an existing trading market, on an exchange or otherwise;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by us or by selling securityholders to purchasers, including through a specific bidding, auction or other process;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of the above methods of sale;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pursuant to applicable law and described in a prospectus supplement.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may also offer and sell, or agree to deliver, securities pursuant to, or in connection with, any option agreement or other contractual arrangement. The securities may be distributed from time to time in one or more transactions:</w:t>
      </w:r>
    </w:p>
    <w:p>
      <w:pPr>
        <w:spacing w:after="0" w:line="162"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Ordinary Shares will be listed on Nasdaq,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shares, and may use securities received from us in settlement of those derivatives to close out any related open borrowings of shares.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effect sales of securities in connection with forward sale, option or other types of agreements with third parties. Any distribution of securities pursuant to any forward sale agreement may be effected from time to time in one or more transactions that may take place through a stock exchange, including block trades or ordinary broker’s transactions, or through broker-dealers acting either as principal or agent, or through privately negotiated transactions, or through an underwritten public offering, or through a combination of any such methods of sale, at market prices prevailing at the time of sale, prices relating to such prevailing market prices or at negotiated or fixed prices.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expenses of any offering of our securities will be detailed in the applicable prospectus supplement. The underwriters, dealers and agents may engage in transactions with us, or perform services for us, in the ordinary course of business for which they receive compensation.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identify the specific plan of distribution, including any agents, underwriters, dealers, remarketing firms or other third parties and their compensation in a prospectus supplement.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validity of the ordinary shares and the preferred shares being registered hereby and certain other matters of Cayman Islands law will be passed upon for us by Maples and Calder (Cayman) LLP. The validity of the warrants, debt securities, Rights and units being registered hereby and certain other matters of New York state law and United States federal securities laws will be passed upon for us by Duane Morris LLP. Additional legal matters may be passed upon for us, any underwriters, dealers or agents by counsel that we will name in the applicable prospectus supplement.</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financial statements incorporated in this Prospectus and Registration statement on Form F-3 by reference to the Company’s Annual Report on </w:t>
      </w:r>
      <w:hyperlink r:id="rId64">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year ended December 31, 2025 have been so incorporated in reliance on the report (which contains an explanatory paragraph relating 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Company’s ability to continue as a going concern as described in Note 2 to the financial statements) of Samil PricewaterhouseCoopers, an independent registered public accounting firm, given on the authority of said firm as experts in auditing and accounting.</w:t>
      </w:r>
    </w:p>
    <w:p>
      <w:pPr>
        <w:spacing w:after="0" w:line="180" w:lineRule="exact"/>
        <w:rPr>
          <w:sz w:val="20"/>
          <w:szCs w:val="20"/>
          <w:color w:val="auto"/>
        </w:rPr>
      </w:pPr>
    </w:p>
    <w:p>
      <w:pPr>
        <w:jc w:val="both"/>
        <w:ind w:firstLine="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audited historical financial statements of Hansol Inticube Co. Ltd included on page 1 of K Wave Media Ltd.’s Current Report on </w:t>
      </w:r>
      <w:hyperlink r:id="rId65">
        <w:r>
          <w:rPr>
            <w:rFonts w:ascii="Times New Roman" w:cs="Times New Roman" w:eastAsia="Times New Roman" w:hAnsi="Times New Roman"/>
            <w:sz w:val="18"/>
            <w:szCs w:val="18"/>
            <w:u w:val="single" w:color="auto"/>
            <w:color w:val="0000EE"/>
          </w:rPr>
          <w:t>Form 6-K/A</w:t>
        </w:r>
      </w:hyperlink>
      <w:r>
        <w:rPr>
          <w:rFonts w:ascii="Times New Roman" w:cs="Times New Roman" w:eastAsia="Times New Roman" w:hAnsi="Times New Roman"/>
          <w:sz w:val="18"/>
          <w:szCs w:val="18"/>
          <w:color w:val="auto"/>
        </w:rPr>
        <w:t xml:space="preserve"> dated June 29, 2026 have been so incorporated in reliance on the report of Samil PricewaterhouseCoopers, an independent registered public accounting firm, given on the authority of said firm as experts in auditing and accounting.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incorporated under the laws of the Cayman Islands. Service of process upon us and upon our directors and officers and the Cayman Islands experts named in this prospectus, substantially all of whom reside outside the United States, may be difficult to obtain within the United States. Furthermore, because substantially all of our assets and substantially all of our directors and officers are located outside the United States, any judgment obtained in the United States against us or any of our directors and officers may not be collectible within the United States.</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irrevocably appointed Cogency Global Inc. as our agent to receive service of process in any action against us in any U.S. federal or state court arising out of this offering or any purchase or sale of securities in connection with this offering. The address of our agent is 122 E 42nd Street, 18th Floor, New York, New York 10168.</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been advised by our Cayman Islands legal counsel, Maples and Calder (Cayman) LLP, that the courts of the Cayman Islands are unlikely</w:t>
      </w:r>
    </w:p>
    <w:p>
      <w:pPr>
        <w:spacing w:after="0" w:line="27" w:lineRule="exact"/>
        <w:rPr>
          <w:sz w:val="20"/>
          <w:szCs w:val="20"/>
          <w:color w:val="auto"/>
        </w:rPr>
      </w:pPr>
    </w:p>
    <w:p>
      <w:pPr>
        <w:jc w:val="both"/>
        <w:ind w:firstLine="8"/>
        <w:spacing w:after="0" w:line="251" w:lineRule="auto"/>
        <w:tabs>
          <w:tab w:leader="none" w:pos="23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recognize or enforce against us judgments of courts of the United States predicated upon the civil liability provisions of the securities laws of the United States or any State; and (ii) in original actions brought in the Cayman Islands, to impose liabilities against us predicated upon the civil liability provisions of the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9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U.S. company.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61"/>
        </w:trPr>
        <w:tc>
          <w:tcPr>
            <w:tcW w:w="1280" w:type="dxa"/>
            <w:vAlign w:val="bottom"/>
            <w:tcBorders>
              <w:top w:val="single" w:sz="8" w:color="0000EE"/>
            </w:tcBorders>
          </w:tcPr>
          <w:p>
            <w:pPr>
              <w:spacing w:after="0"/>
              <w:rPr>
                <w:sz w:val="24"/>
                <w:szCs w:val="24"/>
                <w:color w:val="auto"/>
              </w:rPr>
            </w:pPr>
          </w:p>
        </w:tc>
        <w:tc>
          <w:tcPr>
            <w:tcW w:w="8740" w:type="dxa"/>
            <w:vAlign w:val="bottom"/>
            <w:gridSpan w:val="2"/>
          </w:tcPr>
          <w:p>
            <w:pPr>
              <w:ind w:left="38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00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following is a statement of expenses in connection with the distribution of the securities registered.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0" w:type="dxa"/>
            <w:vAlign w:val="bottom"/>
          </w:tcPr>
          <w:p>
            <w:pPr>
              <w:spacing w:after="0"/>
              <w:rPr>
                <w:sz w:val="24"/>
                <w:szCs w:val="24"/>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99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10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accounting fees and expenses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Trustee and transfer agent fees and expenses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10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costs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0"/>
        </w:trPr>
        <w:tc>
          <w:tcPr>
            <w:tcW w:w="10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fees and expenses are not presently known. If required, to be provided by a prospectus supplement or as an exhibit to a Report on Form 6-K that is incorporated by reference into this prospectus.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SEC’s rules allow us to “incorporate by reference” the information we file with the SEC, which means that we can disclose important information to you by referring you to other documents filed separately with the SEC. The information incorporated by reference is considered to be part of this prospectus. Any information that we file later with the SEC and that is deemed incorporated by reference will automatically update and supersede the information in this prospectus.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will be deemed to incorporate by reference the following documents, except that we do not incorporate any document or portion of a document that was furnished and deemed by the rules of the SEC not to have been filed:</w:t>
      </w:r>
    </w:p>
    <w:p>
      <w:pPr>
        <w:spacing w:after="0" w:line="162"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4">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May 15, 2026;</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Reports on Form 6-K and Form 6-K/A furnished to the SEC on February 20, 2026 (including </w:t>
      </w:r>
      <w:hyperlink r:id="rId70">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thereto), March 17, 2026 (but excluding </w:t>
      </w:r>
      <w:hyperlink r:id="rId71">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thereto), June 4, 2026 (excluding </w:t>
      </w:r>
      <w:hyperlink r:id="rId72">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73">
        <w:r>
          <w:rPr>
            <w:rFonts w:ascii="Times New Roman" w:cs="Times New Roman" w:eastAsia="Times New Roman" w:hAnsi="Times New Roman"/>
            <w:sz w:val="18"/>
            <w:szCs w:val="18"/>
            <w:u w:val="single" w:color="auto"/>
            <w:color w:val="0000EE"/>
          </w:rPr>
          <w:t>Exhibit 99.2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thereto), and June 29, 2026 (including </w:t>
      </w:r>
      <w:hyperlink r:id="rId74">
        <w:r>
          <w:rPr>
            <w:rFonts w:ascii="Times New Roman" w:cs="Times New Roman" w:eastAsia="Times New Roman" w:hAnsi="Times New Roman"/>
            <w:sz w:val="18"/>
            <w:szCs w:val="18"/>
            <w:u w:val="single" w:color="auto"/>
            <w:color w:val="0000EE"/>
          </w:rPr>
          <w:t>Exhibit 99.1</w:t>
        </w:r>
      </w:hyperlink>
      <w:r>
        <w:rPr>
          <w:rFonts w:ascii="Times New Roman" w:cs="Times New Roman" w:eastAsia="Times New Roman" w:hAnsi="Times New Roman"/>
          <w:sz w:val="18"/>
          <w:szCs w:val="18"/>
          <w:color w:val="auto"/>
        </w:rPr>
        <w:t xml:space="preserve"> and </w:t>
      </w:r>
      <w:hyperlink r:id="rId75">
        <w:r>
          <w:rPr>
            <w:rFonts w:ascii="Times New Roman" w:cs="Times New Roman" w:eastAsia="Times New Roman" w:hAnsi="Times New Roman"/>
            <w:sz w:val="18"/>
            <w:szCs w:val="18"/>
            <w:u w:val="single" w:color="auto"/>
            <w:color w:val="0000EE"/>
          </w:rPr>
          <w:t>Exhibit 99.2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thereto);</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our registration statement on </w:t>
      </w:r>
      <w:hyperlink r:id="rId76">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May 13, 2025 and any amendment or report filed with the SEC for the purpose of updating the description;</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annual reports on Form 20-F filed with the SEC after the date of this prospectus and prior to the termination of the offering of the securities offered by this prospectus;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reports on Form 6-K that we furnish to the SEC after the date of this prospectus that are identified in such reports as being incorporated by reference in this prospectus.</w:t>
      </w:r>
    </w:p>
    <w:p>
      <w:pPr>
        <w:spacing w:after="0" w:line="162" w:lineRule="exact"/>
        <w:rPr>
          <w:rFonts w:ascii="Times New Roman" w:cs="Times New Roman" w:eastAsia="Times New Roman" w:hAnsi="Times New Roman"/>
          <w:sz w:val="18"/>
          <w:szCs w:val="18"/>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all cases, you should rely on the later information over different information included in this prospectus or any applicable prospectus supplement.</w:t>
      </w:r>
    </w:p>
    <w:p>
      <w:pPr>
        <w:spacing w:after="0" w:line="162" w:lineRule="exact"/>
        <w:rPr>
          <w:rFonts w:ascii="Times New Roman" w:cs="Times New Roman" w:eastAsia="Times New Roman" w:hAnsi="Times New Roman"/>
          <w:sz w:val="18"/>
          <w:szCs w:val="18"/>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We will provide without charge to each person, including any beneficial owner, to whom this prospectus is delivered, upon his or her written or oral request, a copy of any or all documents referred to above which have been or may be incorporated by reference into this prospectus. You may obtain a copy of these documents by writing to or telephoning us at the following address: K Wave Media Ltd., 121 South Church Street, George Town, Grand Cayman, KY1-1104 Cayman Islands, Attention: Investor Relations, and our telephone number at that address is +1 (703) 790-0717. Alternatively, copies of these documents are available via our website (www.kwavemedia.com/investors), or as described under “</w:t>
      </w:r>
      <w:r>
        <w:rPr>
          <w:rFonts w:ascii="Times New Roman" w:cs="Times New Roman" w:eastAsia="Times New Roman" w:hAnsi="Times New Roman"/>
          <w:sz w:val="18"/>
          <w:szCs w:val="18"/>
          <w:i w:val="1"/>
          <w:iCs w:val="1"/>
          <w:u w:val="single" w:color="auto"/>
          <w:color w:val="0000EE"/>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More Information</w:t>
      </w:r>
      <w:r>
        <w:rPr>
          <w:rFonts w:ascii="Times New Roman" w:cs="Times New Roman" w:eastAsia="Times New Roman" w:hAnsi="Times New Roman"/>
          <w:sz w:val="18"/>
          <w:szCs w:val="18"/>
          <w:color w:val="000000"/>
        </w:rPr>
        <w:t>” below. The information on our website is not incorporated by reference into this prospectus.</w:t>
      </w:r>
    </w:p>
    <w:p>
      <w:pPr>
        <w:spacing w:after="0" w:line="189"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else to provide you with different information. We are not making an offer of these securities in any state where the offer is not permitted. You should not assume that the information in this prospectus or any prospectus supplement is accurate as of any date other than the date on the front of those documents.</w:t>
      </w:r>
    </w:p>
    <w:p>
      <w:pPr>
        <w:spacing w:after="0" w:line="180" w:lineRule="exact"/>
        <w:rPr>
          <w:rFonts w:ascii="Times New Roman" w:cs="Times New Roman" w:eastAsia="Times New Roman" w:hAnsi="Times New Roman"/>
          <w:sz w:val="18"/>
          <w:szCs w:val="18"/>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Any statement contained in a document incorporated by reference herein shall be deemed to be modified or superseded for purposes of this prospectus to the extent that a statement contained herein, or in a subsequently filed document incorporated by reference herein, modifies or supersedes that statement. Any statement so modified or superseded shall not be deemed, except as so modified or superseded, to constitute part of this prospectus.</w:t>
      </w:r>
    </w:p>
    <w:p>
      <w:pPr>
        <w:spacing w:after="0" w:line="284"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is part of the registration statement on Form F-3 we filed with the SEC under the Securities Act, and does not contain all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Exchange Act that are applicable to foreign private issuers. Accordingly, we are required to file or furnish reports and other information with the SEC, including annual reports on Form 20-F and reports on Form 6-K. The SEC maintains an internet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from which you can electronically access the registration statement and its materials.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website is www.kwavemedia.com. The information on our website, however, is not, and should not be deemed to be, a part of this prospectus.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exempt from certain of the requirements under the Exchange Act including, among other things, the rules prescribing the furnishing and content of proxy statements, and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4"/>
          <w:szCs w:val="24"/>
          <w:b w:val="1"/>
          <w:bCs w:val="1"/>
          <w:color w:val="auto"/>
        </w:rPr>
        <w:t>K Wave Media Ltd.</w:t>
      </w:r>
    </w:p>
    <w:p>
      <w:pPr>
        <w:spacing w:after="0" w:line="23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$250,000,000</w:t>
      </w:r>
    </w:p>
    <w:p>
      <w:pPr>
        <w:spacing w:after="0" w:line="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Ordinary Shares</w:t>
      </w:r>
    </w:p>
    <w:p>
      <w:pPr>
        <w:jc w:val="center"/>
        <w:ind w:right="-1100"/>
        <w:spacing w:after="0" w:line="230" w:lineRule="auto"/>
        <w:rPr>
          <w:sz w:val="20"/>
          <w:szCs w:val="20"/>
          <w:color w:val="auto"/>
        </w:rPr>
      </w:pPr>
      <w:r>
        <w:rPr>
          <w:rFonts w:ascii="Times New Roman" w:cs="Times New Roman" w:eastAsia="Times New Roman" w:hAnsi="Times New Roman"/>
          <w:sz w:val="22"/>
          <w:szCs w:val="22"/>
          <w:b w:val="1"/>
          <w:bCs w:val="1"/>
          <w:color w:val="auto"/>
        </w:rPr>
        <w:t>Preferred Shares</w:t>
      </w:r>
    </w:p>
    <w:p>
      <w:pPr>
        <w:jc w:val="center"/>
        <w:ind w:right="-1100"/>
        <w:spacing w:after="0" w:line="231"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ind w:right="-1100"/>
        <w:spacing w:after="0" w:line="230"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ind w:right="-1100"/>
        <w:spacing w:after="0" w:line="231" w:lineRule="auto"/>
        <w:rPr>
          <w:sz w:val="20"/>
          <w:szCs w:val="20"/>
          <w:color w:val="auto"/>
        </w:rPr>
      </w:pPr>
      <w:r>
        <w:rPr>
          <w:rFonts w:ascii="Times New Roman" w:cs="Times New Roman" w:eastAsia="Times New Roman" w:hAnsi="Times New Roman"/>
          <w:sz w:val="22"/>
          <w:szCs w:val="22"/>
          <w:b w:val="1"/>
          <w:bCs w:val="1"/>
          <w:color w:val="auto"/>
        </w:rPr>
        <w:t>Rights</w:t>
      </w:r>
    </w:p>
    <w:p>
      <w:pPr>
        <w:ind w:left="5380"/>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1229995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1256030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Indemnification of Directors and Officers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where any such provision may be held by the Cayman Islands courts to be contrary to public policy, such as to provide indemnification against willful default, willful neglect, actual fraud or the consequences of committing a crime. Our Memorandum and Articles of Association permit indemnification of officers and directors to the maximum extent permitted by law, including for any liability incurred in their capacities as such.</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of the registration statement are listed in the Exhibit Index to this registration statement and are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Financial Statement Schedules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Schedules have been omitted because the information required to be set forth therein is not applicable or is shown in the audited consolidated financial statements or the notes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Undertakings</w:t>
      </w:r>
    </w:p>
    <w:p>
      <w:pPr>
        <w:spacing w:after="0" w:line="229" w:lineRule="exact"/>
        <w:rPr>
          <w:sz w:val="20"/>
          <w:szCs w:val="20"/>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73"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62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jc w:val="both"/>
        <w:ind w:firstLine="656"/>
        <w:spacing w:after="0" w:line="266" w:lineRule="auto"/>
        <w:tabs>
          <w:tab w:leader="none" w:pos="90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1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the registrant pursuant to Section 13 or Section 15(d) of the Securities Exchange Act of 1934 that are incorporated by reference in this Form F-3.</w:t>
      </w:r>
    </w:p>
    <w:p>
      <w:pPr>
        <w:spacing w:after="0" w:line="19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60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9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9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any preliminary prospectus or prospectus of the undersigned registrant relating to the offering required to be filed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424;</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right="20" w:firstLine="1304"/>
        <w:spacing w:after="0" w:line="282" w:lineRule="auto"/>
        <w:tabs>
          <w:tab w:leader="none" w:pos="156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4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jc w:val="both"/>
        <w:ind w:firstLine="8"/>
        <w:spacing w:after="0" w:line="258" w:lineRule="auto"/>
        <w:tabs>
          <w:tab w:leader="none" w:pos="25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firstLine="8"/>
        <w:spacing w:after="0" w:line="255" w:lineRule="auto"/>
        <w:tabs>
          <w:tab w:leader="none" w:pos="24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40" w:type="dxa"/>
            <w:vAlign w:val="bottom"/>
            <w:gridSpan w:val="7"/>
          </w:tcPr>
          <w:p>
            <w:pPr>
              <w:ind w:left="27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9"/>
        </w:trPr>
        <w:tc>
          <w:tcPr>
            <w:tcW w:w="1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auto"/>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K Wave Media Ltd.’s Amended and Restated Memorandum and Articles of Association (incorporated by reference to Annex B to Global</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Star Prospectus/Proxy Statement filed with the SEC on January 8, 2025).</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8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4.1</w:t>
            </w:r>
          </w:p>
        </w:tc>
        <w:tc>
          <w:tcPr>
            <w:tcW w:w="120" w:type="dxa"/>
            <w:vAlign w:val="bottom"/>
            <w:shd w:val="clear" w:color="auto" w:fill="CCEEFF"/>
          </w:tcPr>
          <w:p>
            <w:pPr>
              <w:spacing w:after="0"/>
              <w:rPr>
                <w:sz w:val="15"/>
                <w:szCs w:val="15"/>
                <w:color w:val="auto"/>
              </w:rPr>
            </w:pPr>
          </w:p>
        </w:tc>
        <w:tc>
          <w:tcPr>
            <w:tcW w:w="1010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Specimen Ordinary Share Certificate of K Wave Media Ltd. (incorporated by reference to Exhibit 4.7 of K Wave Media Ltd.’s Registration</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Statement on Form F-4/A, dated December 23, 2024).</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84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Preferred Share Certificate.</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4.3*</w:t>
            </w:r>
          </w:p>
        </w:tc>
        <w:tc>
          <w:tcPr>
            <w:tcW w:w="1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Indenture and Form of Debt Security.</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4.4*</w:t>
            </w:r>
          </w:p>
        </w:tc>
        <w:tc>
          <w:tcPr>
            <w:tcW w:w="1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Ordinary Share Warrant Agreement and Warrant Certificate.</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4.5*</w:t>
            </w:r>
          </w:p>
        </w:tc>
        <w:tc>
          <w:tcPr>
            <w:tcW w:w="1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Debt Securities Warrant Agreement and Warrant Certificate.</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4.6*</w:t>
            </w:r>
          </w:p>
        </w:tc>
        <w:tc>
          <w:tcPr>
            <w:tcW w:w="1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Rights Agreement and Rights Certificate.</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4.7*</w:t>
            </w:r>
          </w:p>
        </w:tc>
        <w:tc>
          <w:tcPr>
            <w:tcW w:w="1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Unit Agreement and Unit Certificate.</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5.1</w:t>
            </w: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Maples and Calder (Cayman) LLP as to the validity of K Wave Media Ltd. ordinary shares and preferred shares.</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8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4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23.1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Samil PricewaterhouseCoopers independent registered public accounting firm of K Wave Media Ltd. for report dated May 15,</w:t>
            </w: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2026.</w:t>
            </w:r>
          </w:p>
        </w:tc>
        <w:tc>
          <w:tcPr>
            <w:tcW w:w="28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23.2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Samil PricewaterhouseCoopers independent registered public accounting firm of Hansol Inticube Co., Ltd. for report dated</w:t>
            </w: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May 19, 2026.</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23.3</w:t>
            </w: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Maples and Calder (Cayman) LLP (included in Exhibit 5.1).</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8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24.1</w:t>
            </w:r>
          </w:p>
        </w:tc>
        <w:tc>
          <w:tcPr>
            <w:tcW w:w="120" w:type="dxa"/>
            <w:vAlign w:val="bottom"/>
            <w:shd w:val="clear" w:color="auto" w:fill="CCEEFF"/>
          </w:tcPr>
          <w:p>
            <w:pPr>
              <w:spacing w:after="0"/>
              <w:rPr>
                <w:sz w:val="15"/>
                <w:szCs w:val="15"/>
                <w:color w:val="auto"/>
              </w:rPr>
            </w:pPr>
          </w:p>
        </w:tc>
        <w:tc>
          <w:tcPr>
            <w:tcW w:w="101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(included on the signature page to registration statement).</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84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1140" w:hanging="1132"/>
        <w:spacing w:after="0"/>
        <w:tabs>
          <w:tab w:leader="none" w:pos="11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Inline Interactive Data Files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1140" w:hanging="1132"/>
        <w:spacing w:after="0"/>
        <w:tabs>
          <w:tab w:leader="none" w:pos="11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1140" w:hanging="1132"/>
        <w:spacing w:after="0"/>
        <w:tabs>
          <w:tab w:leader="none" w:pos="11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59" w:lineRule="exact"/>
        <w:rPr>
          <w:sz w:val="20"/>
          <w:szCs w:val="20"/>
          <w:color w:val="auto"/>
        </w:rPr>
      </w:pPr>
    </w:p>
    <w:p>
      <w:pPr>
        <w:ind w:left="340" w:right="20" w:hanging="332"/>
        <w:spacing w:after="0" w:line="282" w:lineRule="auto"/>
        <w:tabs>
          <w:tab w:leader="none" w:pos="3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be filed as an exhibit to a post-effective amendment to this registration statement or as an exhibit to a Report on Form 6-K to be filed under the Exchange Act and incorporated herein by reference.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McLean, Virginia, on the 30th day of June, 2026.</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 WAVE MEDIA LTD.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Ted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Ted Kim</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of the undersigned constitutes and appoints each of Ted Kim and Yong Fang, each acting alone, his or her true and lawful attorneys-in-fact and agents, with full power of substitution and resubstitution, for such person and in his or her name, place and stead, in any and all capacities, to sign this Registration Statement on Form F-3, or other appropriate form, and all amendments thereto, including post-effective amendments, of K Wave Media Ltd.,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that any such attorney-in-fact and agent, or his or her substitute or substitutes, may lawfully do or cause to be done by virtue hereof</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Ted Kim</w:t>
            </w:r>
          </w:p>
        </w:tc>
        <w:tc>
          <w:tcPr>
            <w:tcW w:w="240" w:type="dxa"/>
            <w:vAlign w:val="bottom"/>
          </w:tcPr>
          <w:p>
            <w:pPr>
              <w:spacing w:after="0"/>
              <w:rPr>
                <w:sz w:val="24"/>
                <w:szCs w:val="24"/>
                <w:color w:val="auto"/>
              </w:rPr>
            </w:pPr>
          </w:p>
        </w:tc>
        <w:tc>
          <w:tcPr>
            <w:tcW w:w="4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2026</w:t>
            </w: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Ted Kim</w:t>
            </w:r>
          </w:p>
        </w:tc>
        <w:tc>
          <w:tcPr>
            <w:tcW w:w="240" w:type="dxa"/>
            <w:vAlign w:val="bottom"/>
          </w:tcPr>
          <w:p>
            <w:pPr>
              <w:spacing w:after="0"/>
              <w:rPr>
                <w:sz w:val="19"/>
                <w:szCs w:val="19"/>
                <w:color w:val="auto"/>
              </w:rPr>
            </w:pPr>
          </w:p>
        </w:tc>
        <w:tc>
          <w:tcPr>
            <w:tcW w:w="4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80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Yong (Howard) Fang</w:t>
            </w:r>
          </w:p>
        </w:tc>
        <w:tc>
          <w:tcPr>
            <w:tcW w:w="240" w:type="dxa"/>
            <w:vAlign w:val="bottom"/>
          </w:tcPr>
          <w:p>
            <w:pPr>
              <w:spacing w:after="0"/>
              <w:rPr>
                <w:sz w:val="24"/>
                <w:szCs w:val="24"/>
                <w:color w:val="auto"/>
              </w:rPr>
            </w:pPr>
          </w:p>
        </w:tc>
        <w:tc>
          <w:tcPr>
            <w:tcW w:w="4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2026</w:t>
            </w: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Yong (Howard) Fang</w:t>
            </w:r>
          </w:p>
        </w:tc>
        <w:tc>
          <w:tcPr>
            <w:tcW w:w="240" w:type="dxa"/>
            <w:vAlign w:val="bottom"/>
          </w:tcPr>
          <w:p>
            <w:pPr>
              <w:spacing w:after="0"/>
              <w:rPr>
                <w:sz w:val="19"/>
                <w:szCs w:val="19"/>
                <w:color w:val="auto"/>
              </w:rPr>
            </w:pPr>
          </w:p>
        </w:tc>
        <w:tc>
          <w:tcPr>
            <w:tcW w:w="4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(Principal Financial and Principal Accounting Officer)</w:t>
            </w:r>
          </w:p>
        </w:tc>
        <w:tc>
          <w:tcPr>
            <w:tcW w:w="180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Pyeung Ho Choi</w:t>
            </w:r>
          </w:p>
        </w:tc>
        <w:tc>
          <w:tcPr>
            <w:tcW w:w="240" w:type="dxa"/>
            <w:vAlign w:val="bottom"/>
          </w:tcPr>
          <w:p>
            <w:pPr>
              <w:spacing w:after="0"/>
              <w:rPr>
                <w:sz w:val="24"/>
                <w:szCs w:val="24"/>
                <w:color w:val="auto"/>
              </w:rPr>
            </w:pPr>
          </w:p>
        </w:tc>
        <w:tc>
          <w:tcPr>
            <w:tcW w:w="4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 and Chairman</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2026</w:t>
            </w: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Pyeung Ho Choi</w:t>
            </w:r>
          </w:p>
        </w:tc>
        <w:tc>
          <w:tcPr>
            <w:tcW w:w="2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Hyung Seok Cho</w:t>
            </w:r>
          </w:p>
        </w:tc>
        <w:tc>
          <w:tcPr>
            <w:tcW w:w="240" w:type="dxa"/>
            <w:vAlign w:val="bottom"/>
          </w:tcPr>
          <w:p>
            <w:pPr>
              <w:spacing w:after="0"/>
              <w:rPr>
                <w:sz w:val="24"/>
                <w:szCs w:val="24"/>
                <w:color w:val="auto"/>
              </w:rPr>
            </w:pPr>
          </w:p>
        </w:tc>
        <w:tc>
          <w:tcPr>
            <w:tcW w:w="4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2026</w:t>
            </w: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Hyung Seok Cho</w:t>
            </w:r>
          </w:p>
        </w:tc>
        <w:tc>
          <w:tcPr>
            <w:tcW w:w="2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Yang Kan Chong</w:t>
            </w:r>
          </w:p>
        </w:tc>
        <w:tc>
          <w:tcPr>
            <w:tcW w:w="240" w:type="dxa"/>
            <w:vAlign w:val="bottom"/>
          </w:tcPr>
          <w:p>
            <w:pPr>
              <w:spacing w:after="0"/>
              <w:rPr>
                <w:sz w:val="24"/>
                <w:szCs w:val="24"/>
                <w:color w:val="auto"/>
              </w:rPr>
            </w:pPr>
          </w:p>
        </w:tc>
        <w:tc>
          <w:tcPr>
            <w:tcW w:w="4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2026</w:t>
            </w: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Yang Kan Chong</w:t>
            </w:r>
          </w:p>
        </w:tc>
        <w:tc>
          <w:tcPr>
            <w:tcW w:w="2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Jaekeun Kim</w:t>
            </w:r>
          </w:p>
        </w:tc>
        <w:tc>
          <w:tcPr>
            <w:tcW w:w="240" w:type="dxa"/>
            <w:vAlign w:val="bottom"/>
          </w:tcPr>
          <w:p>
            <w:pPr>
              <w:spacing w:after="0"/>
              <w:rPr>
                <w:sz w:val="24"/>
                <w:szCs w:val="24"/>
                <w:color w:val="auto"/>
              </w:rPr>
            </w:pPr>
          </w:p>
        </w:tc>
        <w:tc>
          <w:tcPr>
            <w:tcW w:w="4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2026</w:t>
            </w: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Jaekeun Kim</w:t>
            </w:r>
          </w:p>
        </w:tc>
        <w:tc>
          <w:tcPr>
            <w:tcW w:w="2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Tae Woo Kim</w:t>
            </w:r>
          </w:p>
        </w:tc>
        <w:tc>
          <w:tcPr>
            <w:tcW w:w="240" w:type="dxa"/>
            <w:vAlign w:val="bottom"/>
          </w:tcPr>
          <w:p>
            <w:pPr>
              <w:spacing w:after="0"/>
              <w:rPr>
                <w:sz w:val="24"/>
                <w:szCs w:val="24"/>
                <w:color w:val="auto"/>
              </w:rPr>
            </w:pPr>
          </w:p>
        </w:tc>
        <w:tc>
          <w:tcPr>
            <w:tcW w:w="4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2026</w:t>
            </w: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Tae Woo Kim</w:t>
            </w:r>
          </w:p>
        </w:tc>
        <w:tc>
          <w:tcPr>
            <w:tcW w:w="2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Seok Moon Woo</w:t>
            </w:r>
          </w:p>
        </w:tc>
        <w:tc>
          <w:tcPr>
            <w:tcW w:w="240" w:type="dxa"/>
            <w:vAlign w:val="bottom"/>
          </w:tcPr>
          <w:p>
            <w:pPr>
              <w:spacing w:after="0"/>
              <w:rPr>
                <w:sz w:val="24"/>
                <w:szCs w:val="24"/>
                <w:color w:val="auto"/>
              </w:rPr>
            </w:pPr>
          </w:p>
        </w:tc>
        <w:tc>
          <w:tcPr>
            <w:tcW w:w="4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2026</w:t>
            </w:r>
          </w:p>
        </w:tc>
      </w:tr>
      <w:tr>
        <w:trPr>
          <w:trHeight w:val="22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Seok Moon Woo</w:t>
            </w:r>
          </w:p>
        </w:tc>
        <w:tc>
          <w:tcPr>
            <w:tcW w:w="2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542"/>
        </w:trPr>
        <w:tc>
          <w:tcPr>
            <w:tcW w:w="4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8"/>
                <w:szCs w:val="18"/>
                <w:color w:val="auto"/>
              </w:rPr>
              <w:t>II-5</w:t>
            </w: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REGISTRANT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undersigned, the duly authorized representative in the United States of K Wave Media Ltd. has signed this Registration Statement on Form F-3 on June 30, 2026.</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Colleen A. De Vries</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Colleen A. De Vries</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588"/>
        </w:trPr>
        <w:tc>
          <w:tcPr>
            <w:tcW w:w="6200" w:type="dxa"/>
            <w:vAlign w:val="bottom"/>
            <w:tcBorders>
              <w:bottom w:val="single" w:sz="8" w:color="auto"/>
            </w:tcBorders>
          </w:tcPr>
          <w:p>
            <w:pPr>
              <w:ind w:left="5480"/>
              <w:spacing w:after="0"/>
              <w:rPr>
                <w:sz w:val="20"/>
                <w:szCs w:val="20"/>
                <w:color w:val="auto"/>
              </w:rPr>
            </w:pPr>
            <w:r>
              <w:rPr>
                <w:rFonts w:ascii="Times New Roman" w:cs="Times New Roman" w:eastAsia="Times New Roman" w:hAnsi="Times New Roman"/>
                <w:sz w:val="18"/>
                <w:szCs w:val="18"/>
                <w:color w:val="auto"/>
              </w:rPr>
              <w:t>II-6</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028700" cy="9347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102870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ref OTS/824718-000001/88686519v1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Wave Media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309, Ugland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KY1-1104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June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Wave Media Ltd.</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have acted as counsel as to Cayman Islands law to K Wave Media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Company’s registration statement on Form S-3, including all amendments or supplements thereto, filed with the United States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United States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(including its exhibits,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related to up to US$250,000,000 of securities to be issued, offered and sold by the Company from time to time (together,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Securities include:</w:t>
      </w:r>
    </w:p>
    <w:p>
      <w:pPr>
        <w:spacing w:after="0" w:line="176"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par value $0.0001 each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shares of par value $0.0001 each which we may issue in one or more series (the “</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exchangeable for or convertible into Ordinary Shares, including secured or unsecured securities, senior debt securities, senior subordinated debt securities or subordinated debt securities (the “</w:t>
      </w:r>
      <w:r>
        <w:rPr>
          <w:rFonts w:ascii="Times New Roman" w:cs="Times New Roman" w:eastAsia="Times New Roman" w:hAnsi="Times New Roman"/>
          <w:sz w:val="18"/>
          <w:szCs w:val="18"/>
          <w:b w:val="1"/>
          <w:bCs w:val="1"/>
          <w:color w:val="auto"/>
        </w:rPr>
        <w:t>Debt Securities</w:t>
      </w:r>
      <w:r>
        <w:rPr>
          <w:rFonts w:ascii="Times New Roman" w:cs="Times New Roman" w:eastAsia="Times New Roman" w:hAnsi="Times New Roman"/>
          <w:sz w:val="18"/>
          <w:szCs w:val="18"/>
          <w:color w:val="auto"/>
        </w:rPr>
        <w:t>”), each series of Debt Securities to be issued under an indenture to be entered into by the Company and the trustee (the “</w:t>
      </w:r>
      <w:r>
        <w:rPr>
          <w:rFonts w:ascii="Times New Roman" w:cs="Times New Roman" w:eastAsia="Times New Roman" w:hAnsi="Times New Roman"/>
          <w:sz w:val="18"/>
          <w:szCs w:val="18"/>
          <w:b w:val="1"/>
          <w:bCs w:val="1"/>
          <w:color w:val="auto"/>
        </w:rPr>
        <w:t>Indenture Documents</w:t>
      </w:r>
      <w:r>
        <w:rPr>
          <w:rFonts w:ascii="Times New Roman" w:cs="Times New Roman" w:eastAsia="Times New Roman" w:hAnsi="Times New Roman"/>
          <w:sz w:val="18"/>
          <w:szCs w:val="18"/>
          <w:color w:val="auto"/>
        </w:rPr>
        <w:t>”), as each such indenture may be supplemented, in connection with the issuance of each such series, by a supplemental indenture, officers’ certificate or other writing thereunder establishing the form and terms of such series;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Ordinary Shares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issuable pursuant to the terms of one or more warrant agreements to be entered into by the Company and a warrant agent (each such warrant agreement, a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Warrant Agreements</w:t>
      </w:r>
      <w:r>
        <w:rPr>
          <w:rFonts w:ascii="Times New Roman" w:cs="Times New Roman" w:eastAsia="Times New Roman" w:hAnsi="Times New Roman"/>
          <w:sz w:val="18"/>
          <w:szCs w:val="18"/>
          <w:color w:val="auto"/>
        </w:rPr>
        <w:t>”) and warrant certificate (the “</w:t>
      </w:r>
      <w:r>
        <w:rPr>
          <w:rFonts w:ascii="Times New Roman" w:cs="Times New Roman" w:eastAsia="Times New Roman" w:hAnsi="Times New Roman"/>
          <w:sz w:val="18"/>
          <w:szCs w:val="18"/>
          <w:b w:val="1"/>
          <w:bCs w:val="1"/>
          <w:color w:val="auto"/>
        </w:rPr>
        <w:t>Warrant Certificate</w:t>
      </w:r>
      <w:r>
        <w:rPr>
          <w:rFonts w:ascii="Times New Roman" w:cs="Times New Roman" w:eastAsia="Times New Roman" w:hAnsi="Times New Roman"/>
          <w:sz w:val="18"/>
          <w:szCs w:val="18"/>
          <w:color w:val="auto"/>
        </w:rPr>
        <w:t>” and, together with the Warrant Agreements, the “</w:t>
      </w:r>
      <w:r>
        <w:rPr>
          <w:rFonts w:ascii="Times New Roman" w:cs="Times New Roman" w:eastAsia="Times New Roman" w:hAnsi="Times New Roman"/>
          <w:sz w:val="18"/>
          <w:szCs w:val="18"/>
          <w:b w:val="1"/>
          <w:bCs w:val="1"/>
          <w:color w:val="auto"/>
        </w:rPr>
        <w:t>Warrant Documents</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subscribe for Ordinary Shares (the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issuable pursuant to the terms of one or more rights agreements to be entered into by the Company and a rights agent (each such rights agreement, a “</w:t>
      </w:r>
      <w:r>
        <w:rPr>
          <w:rFonts w:ascii="Times New Roman" w:cs="Times New Roman" w:eastAsia="Times New Roman" w:hAnsi="Times New Roman"/>
          <w:sz w:val="18"/>
          <w:szCs w:val="18"/>
          <w:b w:val="1"/>
          <w:bCs w:val="1"/>
          <w:color w:val="auto"/>
        </w:rPr>
        <w:t>Right Agreement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Rights Agreements</w:t>
      </w:r>
      <w:r>
        <w:rPr>
          <w:rFonts w:ascii="Times New Roman" w:cs="Times New Roman" w:eastAsia="Times New Roman" w:hAnsi="Times New Roman"/>
          <w:sz w:val="18"/>
          <w:szCs w:val="18"/>
          <w:color w:val="auto"/>
        </w:rPr>
        <w:t>”) and rights certificate (the “</w:t>
      </w:r>
      <w:r>
        <w:rPr>
          <w:rFonts w:ascii="Times New Roman" w:cs="Times New Roman" w:eastAsia="Times New Roman" w:hAnsi="Times New Roman"/>
          <w:sz w:val="18"/>
          <w:szCs w:val="18"/>
          <w:b w:val="1"/>
          <w:bCs w:val="1"/>
          <w:color w:val="auto"/>
        </w:rPr>
        <w:t>Rights Certificate</w:t>
      </w:r>
      <w:r>
        <w:rPr>
          <w:rFonts w:ascii="Times New Roman" w:cs="Times New Roman" w:eastAsia="Times New Roman" w:hAnsi="Times New Roman"/>
          <w:sz w:val="18"/>
          <w:szCs w:val="18"/>
          <w:color w:val="auto"/>
        </w:rPr>
        <w:t>” and, together with the Warrant Agreements, the “</w:t>
      </w:r>
      <w:r>
        <w:rPr>
          <w:rFonts w:ascii="Times New Roman" w:cs="Times New Roman" w:eastAsia="Times New Roman" w:hAnsi="Times New Roman"/>
          <w:sz w:val="18"/>
          <w:szCs w:val="18"/>
          <w:b w:val="1"/>
          <w:bCs w:val="1"/>
          <w:color w:val="auto"/>
        </w:rPr>
        <w:t>Rights Documents</w:t>
      </w:r>
      <w:r>
        <w:rPr>
          <w:rFonts w:ascii="Times New Roman" w:cs="Times New Roman" w:eastAsia="Times New Roman" w:hAnsi="Times New Roman"/>
          <w:sz w:val="18"/>
          <w:szCs w:val="18"/>
          <w:color w:val="auto"/>
        </w:rPr>
        <w:t>”); or</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which may be comprised of one or more of the other securities described above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issuable pursuant to the terms of one or more unit agreements (each, a “</w:t>
      </w:r>
      <w:r>
        <w:rPr>
          <w:rFonts w:ascii="Times New Roman" w:cs="Times New Roman" w:eastAsia="Times New Roman" w:hAnsi="Times New Roman"/>
          <w:sz w:val="18"/>
          <w:szCs w:val="18"/>
          <w:b w:val="1"/>
          <w:bCs w:val="1"/>
          <w:color w:val="auto"/>
        </w:rPr>
        <w:t>Unit Agreement</w:t>
      </w:r>
      <w:r>
        <w:rPr>
          <w:rFonts w:ascii="Times New Roman" w:cs="Times New Roman" w:eastAsia="Times New Roman" w:hAnsi="Times New Roman"/>
          <w:sz w:val="18"/>
          <w:szCs w:val="18"/>
          <w:color w:val="auto"/>
        </w:rPr>
        <w:t>”) and unit certificates (each, a “</w:t>
      </w:r>
      <w:r>
        <w:rPr>
          <w:rFonts w:ascii="Times New Roman" w:cs="Times New Roman" w:eastAsia="Times New Roman" w:hAnsi="Times New Roman"/>
          <w:sz w:val="18"/>
          <w:szCs w:val="18"/>
          <w:b w:val="1"/>
          <w:bCs w:val="1"/>
          <w:color w:val="auto"/>
        </w:rPr>
        <w:t>Unit Certificate</w:t>
      </w:r>
      <w:r>
        <w:rPr>
          <w:rFonts w:ascii="Times New Roman" w:cs="Times New Roman" w:eastAsia="Times New Roman" w:hAnsi="Times New Roman"/>
          <w:sz w:val="18"/>
          <w:szCs w:val="18"/>
          <w:color w:val="auto"/>
        </w:rPr>
        <w:t>” and, together with the Unit Agreements, the “</w:t>
      </w:r>
      <w:r>
        <w:rPr>
          <w:rFonts w:ascii="Times New Roman" w:cs="Times New Roman" w:eastAsia="Times New Roman" w:hAnsi="Times New Roman"/>
          <w:sz w:val="18"/>
          <w:szCs w:val="18"/>
          <w:b w:val="1"/>
          <w:bCs w:val="1"/>
          <w:color w:val="auto"/>
        </w:rPr>
        <w:t>Unit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(the Indenture Documents, the Warrant Documents, the Rights Documents and the Unit Documents, together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894080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3000375" cy="402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3000375" cy="4025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This opinion letter is given in accordance with the terms of the Legal Matters section of the Registration Statement.</w:t>
      </w:r>
    </w:p>
    <w:p>
      <w:pPr>
        <w:spacing w:after="0" w:line="221"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Reviewed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reviewed originals, copies, drafts or conformed copies of the following documents: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The certificate of incorporation dated 22 June 2023 and the amended and restated memorandum and articles of association of the Company as registered or adopted on 13 May 2025 (the “</w:t>
      </w:r>
      <w:r>
        <w:rPr>
          <w:rFonts w:ascii="Times New Roman" w:cs="Times New Roman" w:eastAsia="Times New Roman" w:hAnsi="Times New Roman"/>
          <w:sz w:val="18"/>
          <w:szCs w:val="18"/>
          <w:b w:val="1"/>
          <w:bCs w:val="1"/>
          <w:color w:val="auto"/>
        </w:rPr>
        <w:t>Memorandum and Articles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The written resolutions of the board of directors of the Company dated 30 June 2026 (the “</w:t>
      </w:r>
      <w:r>
        <w:rPr>
          <w:rFonts w:ascii="Times New Roman" w:cs="Times New Roman" w:eastAsia="Times New Roman" w:hAnsi="Times New Roman"/>
          <w:sz w:val="17"/>
          <w:szCs w:val="17"/>
          <w:b w:val="1"/>
          <w:bCs w:val="1"/>
          <w:color w:val="auto"/>
        </w:rPr>
        <w:t>Resolutions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The following corporate records of the Company maintained at its registered office in the Cayman Islands, each as at the date of this opinion letter:</w:t>
      </w:r>
    </w:p>
    <w:p>
      <w:pPr>
        <w:spacing w:after="0" w:line="162"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of Directors and Officers;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of Mortgages and Charges.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A certificate of good standing with respect to the Company issued by the Registrar of Companies (the “</w:t>
      </w:r>
      <w:r>
        <w:rPr>
          <w:rFonts w:ascii="Times New Roman" w:cs="Times New Roman" w:eastAsia="Times New Roman" w:hAnsi="Times New Roman"/>
          <w:sz w:val="17"/>
          <w:szCs w:val="17"/>
          <w:b w:val="1"/>
          <w:bCs w:val="1"/>
          <w:color w:val="auto"/>
        </w:rPr>
        <w:t>Certificate of Good Standing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A certificate from a director of the Company a copy of which is attached to this opinion letter (the “</w:t>
      </w:r>
      <w:r>
        <w:rPr>
          <w:rFonts w:ascii="Times New Roman" w:cs="Times New Roman" w:eastAsia="Times New Roman" w:hAnsi="Times New Roman"/>
          <w:sz w:val="17"/>
          <w:szCs w:val="17"/>
          <w:b w:val="1"/>
          <w:bCs w:val="1"/>
          <w:color w:val="auto"/>
        </w:rPr>
        <w:t>Director’s Certificate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The Registration Statement.</w:t>
      </w:r>
    </w:p>
    <w:p>
      <w:pPr>
        <w:spacing w:after="0" w:line="221"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 following opinions, we have relied (without further verification) upon the completeness and accuracy, as at the date of this opinion letter, of the Director’s Certificate and the Certificate of Good Standing. We have also relied upon the following assumptions, which we have not independently verified:</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Documents, the Warrants issuable under the Warrant Documents, the Rights issuable under the Rights Documents, the Debt Securities issuable under the Indenture Documents and the Units issuable under the Unit Documents have been, or will be, authorised and duly executed and unconditionally delivered by or on behalf of all relevant parties in accordance with all relevant laws.</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Documents, the Warrants issuable under the Warrant Documents, the Rights issuable under the Rights Documents, the Debt Securities issuable under the Indenture Documents and the Units issuable under the Unit Documents are, or will be, legal, valid, binding and enforceable against all relevant parties in accordance with their terms under the laws of the State of New York (the “</w:t>
      </w:r>
      <w:r>
        <w:rPr>
          <w:rFonts w:ascii="Times New Roman" w:cs="Times New Roman" w:eastAsia="Times New Roman" w:hAnsi="Times New Roman"/>
          <w:sz w:val="18"/>
          <w:szCs w:val="18"/>
          <w:b w:val="1"/>
          <w:bCs w:val="1"/>
          <w:color w:val="auto"/>
        </w:rPr>
        <w:t>Relevant Law</w:t>
      </w:r>
      <w:r>
        <w:rPr>
          <w:rFonts w:ascii="Times New Roman" w:cs="Times New Roman" w:eastAsia="Times New Roman" w:hAnsi="Times New Roman"/>
          <w:sz w:val="18"/>
          <w:szCs w:val="18"/>
          <w:color w:val="auto"/>
        </w:rPr>
        <w:t>”) and all other relevant laws (other than, with respect to the Company, the laws of the Cayman Islands).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0" w:name="page61"/>
    <w:bookmarkEnd w:id="60"/>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choice of the Relevant Law as the governing law of the Documents, the Warrants issuable under the Warrant Documents, the Rights issuable under the Rights Documents, the Debt Securities issuable under the Indenture Documents and the Units issuable under the Unit Documents has been made in good faith and would be regarded as a valid and binding selection which will be upheld by the courts of the State of New York and any other relevant jurisdiction (other than the Cayman Islands) as a matter of the Relevant Law and all other relevant laws (other than the laws of the Cayman Islands).</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Copies of documents, conformed copies or drafts of documents provided to us are true and complete copies of, or in the final forms of, the originals.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All signatures, initials and seals are genuine.</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The capacity, power, authority and legal right of all parties under all relevant laws and regulations (other than, with respect to the Company, the laws and regulations of the Cayman Islands) to enter into, execute, unconditionally deliver and perform their respective obligations under the Documents, the Warrants issuable under the Warrant Documents, the Rights issuable under the Rights Documents, the Debt Securities issuable under the Indenture Documents and the Units issuable under the Unit Documents.</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There is no contractual or other prohibition or restriction (other than as arising under Cayman Islands law) binding on the Company prohibiting or restricting it from entering into and performing its obligations under the Documents.</w:t>
      </w:r>
    </w:p>
    <w:p>
      <w:pPr>
        <w:spacing w:after="0" w:line="162"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No monies paid to or for the account of any party under the Documents, the Warrants issuable under the Warrant Documents, the Purchase Contracts issuable under the Purchase Contract Agreements, the Rights issuable under the Rights Documents, and the Units issuable under the Unit Documents or any property received or disposed of by any party to the Documents, the Warrants issuable under the Warrant Documents, the Rights issuable under the Rights Documents, the Debt Securities issuable under the Indenture Documents and the Units issuable under the Unit Documents in each case in connection with the Documents, the Warrants issuable under the Warrant Documents, the Rights issuable under the Rights Documents, the Debt Securities issuable under the Indenture Documents and the Units issuable under the Unit Documents or the consummation of the transactions contemplated thereby represent or will represent proceeds of criminal conduct or criminal property or terrorist property (as defined in the Proceeds of Crime Act (As Revised) and the Terrorism Act (As Revised), respectively).</w:t>
      </w:r>
    </w:p>
    <w:p>
      <w:pPr>
        <w:spacing w:after="0" w:line="19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The Debt Securities will be issued and authenticated in accordance with the provisions of a duly authorised, executed and delivered Indenture Document.</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8"/>
          <w:szCs w:val="18"/>
          <w:color w:val="auto"/>
        </w:rPr>
        <w:t>The Indenture Documents, the Warrants and the Warrant Documents, the Rights and the Rights Documents,, and the Units and the Unit Documents will be duly executed and delivered by an authorised person of the parties thereto.</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The Company will receive money or money’s worth in consideration for the issue of the Ordinary Shares and the Preferred Shares and none of the Ordinary Shares or the Preferred Shares will be issued for less than their par value.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color w:val="auto"/>
        </w:rPr>
        <w:t>There will be sufficient Ordinary Shares and Preferred Shares authorised for issue under the Memorandum and Articles.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color w:val="auto"/>
        </w:rPr>
        <w:t>The issue of the Warrants issuable under the Warrant Documents, the Rights issuable under the Rights Documents, the Debt Securities issuable under the Indenture Documents, the Units issuable under the Unit Documents, the Ordinary Shares and the Preferred Shares will be of commercial benefit to the Company.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1" w:name="page62"/>
    <w:bookmarkEnd w:id="61"/>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8"/>
          <w:szCs w:val="18"/>
          <w:color w:val="auto"/>
        </w:rPr>
        <w:t>No invitation has been or will be made by or on behalf of the Company to the public in the Cayman Islands to subscribe for any of the Warrants issuable under the Warrant Documents, the Rights issuable under the Rights Documents,, the Debt Securities issuable under the Indenture Documents, the Units issuable under the Unit Documents, the Ordinary Shares and the Preferred Shares.</w:t>
      </w:r>
    </w:p>
    <w:p>
      <w:pPr>
        <w:spacing w:after="0" w:line="17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8"/>
          <w:szCs w:val="18"/>
          <w:color w:val="auto"/>
        </w:rPr>
        <w:t>There is nothing contained in the minute book or corporate records of the Company (which, other than the records set out in paragraphs 1.1, 1.2 and 1.3 of this opinion letter, we have not inspected) which would or might affect the opinions set out below.</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8"/>
          <w:szCs w:val="18"/>
          <w:color w:val="auto"/>
        </w:rPr>
        <w:t>There is nothing under any law (other than the laws of the Cayman Islands) which would or might affect the opinions set out below. Specifically, we have made no independent investigation of the Relevant Law.</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8"/>
          <w:szCs w:val="18"/>
          <w:color w:val="auto"/>
        </w:rPr>
        <w:t>The Company will receive money or money’s worth in consideration for the issue of the Ordinary Shares and the Preference Shares and none of the Ordinary Shares or the Preferred Shares will be issued for less than their par value.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Save as aforesaid we have not been instructed to undertake and have not undertaken any further enquiry or due diligence in relation to the transaction the subject of this opinion letter.</w:t>
      </w:r>
    </w:p>
    <w:p>
      <w:pPr>
        <w:spacing w:after="0" w:line="158"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assumptions and the qualifications set out below, and having regard to such legal considerations as we deem relevant, we are of the opinion that:</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Company has been duly incorporated as an exempted company with limited liability and is validly existing and in good standing with the Registrar of Companies under the laws of the Cayman Islands.</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Company has all requisite power and authority under the Memorandum and Articles to enter into, execute and perform its obligations under the Indenture Documents to which it will be a party and the Debt Securities issuable under each such Indenture Document to which it is, or will be, a party.</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With respect to the Ordinary Shares and the Preferred Shares, when: (a) the board of directors of the Company has taken all necessary corporate action to approve the issue thereof, the terms of the offering thereof and related matters; (b) the issue of such Ordinary Shares and/or Preferred Shares has been recorded in the Company’s register of members (shareholders); and (c) the subscription price of such Ordinary Shares and/or Preferred Shares (being not less than the par value of the Ordinary Shares and/or Preferred Shares) has been fully paid in cash or other consideration approved by the board of directors of the Company, the Ordinary Shares and/or Preferred Shares will be duly authorised, validly issued, fully paid and non-assessable.</w:t>
      </w:r>
    </w:p>
    <w:p>
      <w:pPr>
        <w:spacing w:after="0" w:line="187"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With respect to the Warrants, when: (a) the board of directors of the Company has taken all necessary corporate action to approve the creation and terms of the Warrants and to approve the issue thereof, the terms of the offering thereof and related matters; (b) a Warrant Agreement relating to the Warrants shall have been duly authorised and validly executed and delivered by the Company and the financial institution designated as warrant agent thereunder; and (c) the Warrant Certificates have been duly executed, countersigned, registered and delivered in accordance with the Warrant Agreement relating to the Warrants and the applicable definitive purchase, underwriting or similar agreement approved by the board of directors of the Company upon payment of the consideration therefor provided therein, the Warrants will be duly authorised, legal and binding obligations of the Company.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2" w:name="page63"/>
    <w:bookmarkEnd w:id="62"/>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With respect to the Rights, when: (a) the board of directors of the Company has taken all necessary corporate action to approve the creation and terms of the Rights and to approve the issue thereof, the terms of the offering thereof and related matters; (b) a Rights Agreement relating to the Rights shall have been duly authorised and validly executed and delivered by the Company and the financial institution designated as rights agent thereunder; and (c) the Rights Certificates have been duly executed, countersigned, registered and delivered in accordance with the Rights Agreement relating to the Rights and the applicable definitive purchase, underwriting or similar agreement approved by the board of directors of the Company upon payment of the consideration therefor provided therein, the Rights will be duly authorised, legal and binding obligations of the Company.</w:t>
      </w:r>
    </w:p>
    <w:p>
      <w:pPr>
        <w:spacing w:after="0" w:line="18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With respect to each issue of Debt Securities pursuant to the relevant Indenture Document, when: (a) the board of directors of the Company has taken all necessary corporate action to approve the issue thereof, the terms of the offering thereof and related matters; and (b) such Debt Securities issued thereunder have been duly executed and delivered on behalf of the Company and authenticated in the manner set forth in the relevant Indenture Document relating to such issue of Debt Securities and delivered against due payment therefor pursuant to, and in accordance with, the terms of the Registration Statement and any relevant prospectus supplement, such Debt Securities issued pursuant to the relevant Indenture Document will have been duly executed, issued and delivered.</w:t>
      </w:r>
    </w:p>
    <w:p>
      <w:pPr>
        <w:spacing w:after="0" w:line="187"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With respect to the Units, when: (a) the board of directors of the Company has taken all necessary corporate action to approve the creation and terms of the Units and to approve the issue thereof, the terms of the offering thereof and related matters; (b) a Unit Agreement relating to the Units shall have been duly authorised and validly executed and delivered by the Company and the financial institution designated as unit agent thereunder; and (c) the Units Certificates have been duly executed, countersigned, registered and delivered in accordance with the Unit Agreement relating to the Units and the applicable definitive purchase, underwriting or similar agreement approved by the board of directors of the Company upon payment of the consideration therefor provided therein, the Units will be duly authorised, legal and binding obligations of the Company.</w:t>
      </w:r>
    </w:p>
    <w:p>
      <w:pPr>
        <w:spacing w:after="0" w:line="183"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Qualifications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expressed above are subject to the following qualifications:</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obligations assumed by the Company under the Documents or the relevant Securities will not necessarily be enforceable in all circumstances in accordance with their terms. In particular:</w:t>
      </w:r>
    </w:p>
    <w:p>
      <w:pPr>
        <w:spacing w:after="0" w:line="162" w:lineRule="exact"/>
        <w:rPr>
          <w:sz w:val="20"/>
          <w:szCs w:val="20"/>
          <w:color w:val="auto"/>
        </w:rPr>
      </w:pPr>
    </w:p>
    <w:p>
      <w:pPr>
        <w:ind w:left="1300" w:right="20" w:hanging="644"/>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may be limited by bankruptcy, insolvency, liquidation, reorganisation, readjustment of debts or moratorium or other laws of general application relating to protecting or affecting the rights of creditors and/or contributories;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enforcement may be limited by general principles of equity. For example, equitable remedies such as specific performance may not be available,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where damages are considered to be an adequate remedy;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3" w:name="page64"/>
    <w:bookmarkEnd w:id="63"/>
    <w:p>
      <w:pPr>
        <w:ind w:left="644" w:hanging="644"/>
        <w:spacing w:after="0" w:line="282" w:lineRule="auto"/>
        <w:tabs>
          <w:tab w:leader="none" w:pos="6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claims may become barred under relevant statutes of limitation or may be or become subject to defences of set off, counterclaim, estoppel and similar defences;</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obligations are to be performed in a jurisdiction outside the Cayman Islands, they may not be enforceable in the Cayman Islands to the extent that performance would be illegal under the laws of that jurisdiction;</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claims may become barred under relevant statutes of limitation or may be or become subject to defences of set off, counterclaim, estoppel and similar defences;</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courts of the Cayman Islands have jurisdiction to give judgment in the currency of the relevant obligation and statutory rates of interest payable upon judgments will vary according to the currency of the judgment. If the Company becomes insolvent and is made subject to a liquidation proceeding, the courts of the Cayman Islands will require all debts to be proved in a common currency, which is likely to be the “functional currency” of the Company determined in accordance with applicable accounting principles. Currency indemnity provisions have not been tested, so far as we are aware, in the courts of the Cayman Islands;</w:t>
      </w:r>
    </w:p>
    <w:p>
      <w:pPr>
        <w:spacing w:after="0" w:line="183"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arrangements that constitute penalties will not be enforceable;</w:t>
      </w:r>
    </w:p>
    <w:p>
      <w:pPr>
        <w:spacing w:after="0" w:line="22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may be prevented by reason of fraud, coercion, duress, undue influence, misrepresentation, public policy or mistake or limited by the doctrine of frustration of contracts;</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imposing confidentiality obligations may be overridden by compulsion of applicable law or the requirements of legal and/or regulatory process;</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courts of the Cayman Islands may decline to exercise jurisdiction in relation to substantive proceedings brought under or in relation to the Documents in matters where they determine that such proceedings may be tried in a more appropriate forum;</w:t>
      </w:r>
    </w:p>
    <w:p>
      <w:pPr>
        <w:spacing w:after="0" w:line="161" w:lineRule="exact"/>
        <w:rPr>
          <w:rFonts w:ascii="Times New Roman" w:cs="Times New Roman" w:eastAsia="Times New Roman" w:hAnsi="Times New Roman"/>
          <w:sz w:val="18"/>
          <w:szCs w:val="18"/>
          <w:color w:val="auto"/>
        </w:rPr>
      </w:pPr>
    </w:p>
    <w:p>
      <w:pPr>
        <w:jc w:val="both"/>
        <w:ind w:left="644" w:right="20" w:hanging="644"/>
        <w:spacing w:after="0" w:line="258" w:lineRule="auto"/>
        <w:tabs>
          <w:tab w:leader="none" w:pos="6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in a Document which is governed by Cayman Islands law purporting to impose obligations on a person who is not a party to such Document (a “</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is unenforceable against that third party. Any provision in a Document which is governed by Cayman Islands law purporting to grant rights to a third party is unenforceable by that third party, except to the extent that such Document expressly provides that the third party may, in its own right, enforce such rights (subject to and in accordance with the Contracts (Rights of Third Parties) Act (As Revised));</w:t>
      </w:r>
    </w:p>
    <w:p>
      <w:pPr>
        <w:spacing w:after="0" w:line="183"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a Document which is governed by Cayman Islands law which expresses any matter to be determined by future agreement may be void or unenforceable;</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reserve our opinion as to the enforceability of the relevant provisions of the Documents to the extent that they purport to grant exclusive jurisdiction as there may be circumstances in which the courts of the Cayman Islands would accept jurisdiction notwithstanding such provisions;</w:t>
      </w:r>
    </w:p>
    <w:p>
      <w:pPr>
        <w:spacing w:after="0" w:line="28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69" w:right="339" w:bottom="1440" w:gutter="0" w:footer="0" w:header="0"/>
        </w:sectPr>
      </w:pPr>
    </w:p>
    <w:bookmarkStart w:id="64" w:name="page65"/>
    <w:bookmarkEnd w:id="64"/>
    <w:p>
      <w:pPr>
        <w:jc w:val="both"/>
        <w:ind w:left="1300" w:hanging="644"/>
        <w:spacing w:after="0" w:line="258"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cannot, by agreement or in its articles of association, restrict the exercise of a statutory power and there is doubt as to the enforceability of any provision in the Documents whereby the Company covenants to restrict the exercise of powers specifically given to it under the Companies Act (As Revised)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including, without limitation, the power to increase its authorised share capital, amend its memorandum and articles of association or present a petition to a Cayman Islands court for an order to wind up the Company;</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or performance of any provision in the Documents which relates, directly or indirectly, to an interest in the Company constituting shares, voting rights or ultimate effective control over management in the Company may be prohibited or restricted if any such relevant interest is or becomes subject to a restrictions notice issued under the Beneficial Ownership Transparency Act (As Revised) (“</w:t>
      </w:r>
      <w:r>
        <w:rPr>
          <w:rFonts w:ascii="Times New Roman" w:cs="Times New Roman" w:eastAsia="Times New Roman" w:hAnsi="Times New Roman"/>
          <w:sz w:val="18"/>
          <w:szCs w:val="18"/>
          <w:b w:val="1"/>
          <w:bCs w:val="1"/>
          <w:color w:val="auto"/>
        </w:rPr>
        <w:t>BOT Act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To maintain the Company in good standing with the Registrar of Companies under the laws of the Cayman Islands, annual filing fees must be paid and returns made to the Registrar of Companies within the time frame prescribed by law.</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We express no opinion as to the meaning, validity or effect of any references to foreign (i.e. non-Cayman Islands) statutes, rules, regulations, codes, judicial authority or any other promulgations and any references to them in the Documents or the relevant Securities issuable thereunder.</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We have not reviewed the Documents including the Indenture Documents, the Debt Securities to be issued thereunder, the Warrant Documents or the Warrants to be issued thereunder, the Purchase Contracts, the Unit Documents or the Units to be issued thereunder, and our opinions are qualified accordingly.</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We reserve our opinion as to the extent to which the courts of the Cayman Islands would, in the event of any relevant illegality or invalidity, sever the relevant provisions of the Indenture Documents, the Debt Securities, the Warrant Documents, the Warrants, the Rights Documents, the Rights, the Unit Documents or the Units and enforce the remainder of the Indenture Documents, the Debt Securities, the Warrant Documents, the Warrants, the Rights Documents, the Rights, the Unit Documents or the Units or the transaction of which such provisions form a part, notwithstanding any express provisions in the Indenture Documents, the Debt Securities, the Warrant Documents, the Warrants, the Rights Documents, the Rights, the Unit Documents or the Units in this regard.</w:t>
      </w:r>
    </w:p>
    <w:p>
      <w:pPr>
        <w:spacing w:after="0" w:line="185"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 xml:space="preserve">Under Cayman Islands law, the register of members (shareholders) is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title to shares and this register would not record a third party interest in such shares.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As far as we are aware, such applications are rarely made in the Cayman Islands and for the purposes of the opinion given in paragraph 3.2, there are no circumstances or matters of fact known to us on the date of this opinion letter which would properly form the basis for an application for an order for rectification of the register of members of the Company, but if such an application were made in respect of the Shares, then the validity of such shares may be subject to re-examination by a Cayman Islands court.</w:t>
      </w:r>
    </w:p>
    <w:p>
      <w:pPr>
        <w:spacing w:after="0" w:line="187"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Except as specifically stated herein, we make no comment with respect to any representations and warranties which may be made by or with respect to the Company in any of the documents or instruments cited in this opinion letter or otherwise with respect to the commercial terms of the transactions the subject of this opinion letter.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5" w:name="page66"/>
    <w:bookmarkEnd w:id="65"/>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In this opinion letter the phrase “non-assessable” means, with respect to the issuance of shares, that a shareholder shall not, in respect of the relevant shares and in the absence of a contractual arrangement, or an obligation pursuant to the memorandum and articles of association, to the contrary,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and to the references to our firm under the headings “Legal Matters” in the prospectus included in the Registration Statement. In providing our consent, we do not thereby admit that we are in the category of persons whose consent is required under section 7 of the Act or the Rules and Regulations of the Commission thereunder.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express no view as to the commercial terms of the Documents or the relevant Securities issuable thereunder or whether such terms represent the intentions of the parties and make no comment with regard to warranties or representations that may be made by the Company.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express no opinion with respect to any direct or indirect acquisition, disposal or exercise of rights by the Company of or in respect of any interest in any property governed by the laws of or situated in the Cayman Islands.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opinions in this opinion letter are strictly limited to the matters contained in the opinions section above and do not extend to any other matters. We have not been asked to review and we therefore have not reviewed the Documents, any of the ancillary documents relating to the Documents or the relevant Securities issuable thereunder and express no opinion or observation upon the terms of any such document.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letter is addressed to you and may be relied upon by you, your counsel and purchasers of Securities pursuant to the Registration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letter is limited to the matters detailed herein and is not to be read as an opinion with respect to any other matter.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(Cayman)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(Cayman) LLP</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color w:val="auto"/>
        </w:rPr>
        <w:t>K Wave Media Ltd.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PO Box 309, Ugland House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Grand Cayman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KY1-1104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Cayman Islands</w:t>
      </w:r>
    </w:p>
    <w:p>
      <w:pPr>
        <w:sectPr>
          <w:pgSz w:w="11900" w:h="16838" w:orient="portrait"/>
          <w:cols w:equalWidth="0" w:num="1">
            <w:col w:w="11240"/>
          </w:cols>
          <w:pgMar w:left="320" w:top="769"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Maples and Calder (Cayman) LLP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309, Ugland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KY1-1104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00" w:lineRule="exact"/>
        <w:rPr>
          <w:sz w:val="20"/>
          <w:szCs w:val="20"/>
          <w:color w:val="auto"/>
        </w:rPr>
      </w:pPr>
    </w:p>
    <w:p>
      <w:pPr>
        <w:sectPr>
          <w:pgSz w:w="11900" w:h="16838" w:orient="portrait"/>
          <w:cols w:equalWidth="0" w:num="2">
            <w:col w:w="240" w:space="420"/>
            <w:col w:w="10580"/>
          </w:cols>
          <w:pgMar w:left="320" w:top="769"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June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K Wave Media Ltd.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 the undersigned, being a director of the Company, am aware that you are being asked to provide an opinion letter (the “</w:t>
      </w:r>
      <w:r>
        <w:rPr>
          <w:rFonts w:ascii="Times New Roman" w:cs="Times New Roman" w:eastAsia="Times New Roman" w:hAnsi="Times New Roman"/>
          <w:sz w:val="18"/>
          <w:szCs w:val="18"/>
          <w:b w:val="1"/>
          <w:bCs w:val="1"/>
          <w:color w:val="auto"/>
        </w:rPr>
        <w:t>Opinion</w:t>
      </w:r>
      <w:r>
        <w:rPr>
          <w:rFonts w:ascii="Times New Roman" w:cs="Times New Roman" w:eastAsia="Times New Roman" w:hAnsi="Times New Roman"/>
          <w:sz w:val="18"/>
          <w:szCs w:val="18"/>
          <w:color w:val="auto"/>
        </w:rPr>
        <w:t>”) in relation to certain aspects of Cayman Islands law. Unless otherwise defined herein, capitalised terms used in this certificate have the respective meanings given to them in the Opinion. I hereby certify that:</w:t>
      </w:r>
    </w:p>
    <w:p>
      <w:pPr>
        <w:spacing w:after="0" w:line="175"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Memorandum and Articles remain in full force and effect and are unamended.</w:t>
      </w:r>
    </w:p>
    <w:p>
      <w:pPr>
        <w:spacing w:after="0" w:line="225" w:lineRule="exact"/>
        <w:rPr>
          <w:sz w:val="20"/>
          <w:szCs w:val="20"/>
          <w:color w:val="auto"/>
        </w:rPr>
      </w:pPr>
    </w:p>
    <w:p>
      <w:pPr>
        <w:ind w:left="660" w:hanging="652"/>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entered into any mortgages or charges over its property or assets other than those entered in the register of mortgages and charges of the Company.</w:t>
      </w:r>
    </w:p>
    <w:p>
      <w:pPr>
        <w:spacing w:after="0" w:line="162" w:lineRule="exact"/>
        <w:rPr>
          <w:sz w:val="20"/>
          <w:szCs w:val="20"/>
          <w:color w:val="auto"/>
        </w:rPr>
      </w:pPr>
    </w:p>
    <w:p>
      <w:pPr>
        <w:ind w:left="660" w:right="20" w:hanging="652"/>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Resolutions were duly passed in the manner prescribed in the Memorandum and Articles (including, without limitation, with respect to the disclosure of interests (if any) by directors of the Company) and have not been amended, varied or revoked in any respect.</w:t>
      </w:r>
    </w:p>
    <w:p>
      <w:pPr>
        <w:spacing w:after="0" w:line="162" w:lineRule="exact"/>
        <w:rPr>
          <w:sz w:val="20"/>
          <w:szCs w:val="20"/>
          <w:color w:val="auto"/>
        </w:rPr>
      </w:pPr>
    </w:p>
    <w:p>
      <w:pPr>
        <w:jc w:val="both"/>
        <w:ind w:left="660" w:hanging="652"/>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authorised share capital of the Company is US$100,000 divided into 990,000,000 ordinary shares of a par value of US$0.0001 each and 10,000,000 preferred shares of a par value of US$0.0001 each. The issued share capital of the Company is 64,221,193 ordinary shares, which have been duly authorised and are validly issued as fully-paid and non-assessable.</w:t>
      </w:r>
    </w:p>
    <w:p>
      <w:pPr>
        <w:spacing w:after="0" w:line="172"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Company (the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have not restricted the powers of the directors of the Company in any way.</w:t>
      </w:r>
    </w:p>
    <w:p>
      <w:pPr>
        <w:spacing w:after="0" w:line="229" w:lineRule="exact"/>
        <w:rPr>
          <w:sz w:val="20"/>
          <w:szCs w:val="20"/>
          <w:color w:val="auto"/>
        </w:rPr>
      </w:pPr>
    </w:p>
    <w:p>
      <w:pPr>
        <w:ind w:left="66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at the date of Resolutions and at the date of this certificate were and are as follows: Hyung Seok Cho, Pyeung Ho Choi, Jaekeun Kim, Tae Woo Kim, Ted Kim, Yang Kan Chong and Seok Moon Woo.</w:t>
      </w:r>
    </w:p>
    <w:p>
      <w:pPr>
        <w:spacing w:after="0" w:line="162" w:lineRule="exact"/>
        <w:rPr>
          <w:sz w:val="20"/>
          <w:szCs w:val="20"/>
          <w:color w:val="auto"/>
        </w:rPr>
      </w:pPr>
    </w:p>
    <w:p>
      <w:pPr>
        <w:jc w:val="both"/>
        <w:ind w:left="660" w:hanging="652"/>
        <w:spacing w:after="0" w:line="261"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minute book and corporate records of the Company as maintained at its registered office in the Cayman Islands and made available to you are complete and accurate in all material respects, and all minutes and resolutions filed therein represent a complete and accurate record of all meetings of the Shareholders and directors (or any committee thereof) of the Company (duly convened in accordance with the Memorandum and Articles) and all resolutions passed at the meetings or passed by written resolution or consent, as the case may be.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67" w:name="page68"/>
    <w:bookmarkEnd w:id="67"/>
    <w:p>
      <w:pPr>
        <w:jc w:val="both"/>
        <w:ind w:left="660" w:hanging="652"/>
        <w:spacing w:after="0" w:line="261"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at the time of, and immediately following the approval of the transactions contemplated by the Registration Statement, the Company was, or will be, able to pay its debts as they fell, or fall, due and has entered, or will enter, into the transactions contemplated by the Registration Statement for proper value and not with an intention to defraud or wilfully defeat an obligation owed to any creditor or with a view to giving a creditor a preference.</w:t>
      </w:r>
    </w:p>
    <w:p>
      <w:pPr>
        <w:spacing w:after="0" w:line="180" w:lineRule="exact"/>
        <w:rPr>
          <w:sz w:val="20"/>
          <w:szCs w:val="20"/>
          <w:color w:val="auto"/>
        </w:rPr>
      </w:pPr>
    </w:p>
    <w:p>
      <w:pPr>
        <w:jc w:val="both"/>
        <w:ind w:left="660" w:hanging="652"/>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of the Company considers the transactions contemplated by the Registration Statement to be of commercial benefit to the Company and has acted in good faith in the best interests of the Company, and for a proper purpose of the Company, in relation to the transactions which are the subject of the Opinion.</w:t>
      </w:r>
    </w:p>
    <w:p>
      <w:pPr>
        <w:spacing w:after="0" w:line="176" w:lineRule="exact"/>
        <w:rPr>
          <w:sz w:val="20"/>
          <w:szCs w:val="20"/>
          <w:color w:val="auto"/>
        </w:rPr>
      </w:pPr>
    </w:p>
    <w:p>
      <w:pPr>
        <w:jc w:val="both"/>
        <w:ind w:left="660" w:hanging="652"/>
        <w:spacing w:after="0" w:line="261"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Debt Securities have been duly authorised by the Company and when the Debt Securities are signed in facsimile or manually by a director or officer of the Company on behalf of the Company and, if appropriate, authenticated in the manner set forth in a duly authorised, executed and delivered Indenture and delivered against due payment therefor, the Debt Securities will be valid, binding and enforceable obligations of the Company.</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received or will receive money or money’s worth in consideration for the issue of the Ordinary Shares and the Preferred Shares upon exercise of any of the Securities and none of the Ordinary Shares and the Preferred Shares were or will be issued for less than par value.</w:t>
      </w:r>
    </w:p>
    <w:p>
      <w:pPr>
        <w:spacing w:after="0" w:line="161" w:lineRule="exact"/>
        <w:rPr>
          <w:rFonts w:ascii="Times New Roman" w:cs="Times New Roman" w:eastAsia="Times New Roman" w:hAnsi="Times New Roman"/>
          <w:sz w:val="18"/>
          <w:szCs w:val="18"/>
          <w:color w:val="auto"/>
        </w:rPr>
      </w:pPr>
    </w:p>
    <w:p>
      <w:pPr>
        <w:jc w:val="both"/>
        <w:ind w:left="660" w:right="20" w:hanging="652"/>
        <w:spacing w:after="0" w:line="261"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my knowledge and belief, having made due inquiry, the Company is not the subject of legal, arbitral, administrative or other proceedings in any jurisdiction and neither the directors nor Shareholders have taken any steps to have the Company struck off or placed in liquidation. Further, no steps have been taken to wind up the Company or to appoint restructuring officers or interim restructuring officers, and no step has been taken to appoint a receiver in relation to any of the Company’s property or assets.</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my knowledge and belief, having made due inquiry, there are no circumstances or matters of fact existing which may properly form the basis for an application for an order for rectification of the register of members of the Company.</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in the Company constituting shares, voting rights or ultimate effective control over management in the Company is currently subject to a restrictions notice issued under the BOT Act.</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been, or will be, authorised and duly executed and delivered by or on behalf of all relevant parties in accordance with all relevant laws.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invitation has been made or will be made by or on behalf of the Company to the public in the Cayman Islands to subscribe for any of the Shares.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and the Preferred Shares to be issued pursuant to the Registration Statement have been, or will be, duly registered, and will continue to be registered, in the Company’s register of members (shareholders).</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central bank, monetary authority or other sovereign entity of any state and is not a subsidiary, direct or indirect, of any sovereign entity or state.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contractual or other prohibition or restriction (other than as arising under Cayman Islands law) binding on the Company prohibiting or restricting it from entering into and performing its obligations under the Plan.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8" w:name="page69"/>
    <w:bookmarkEnd w:id="68"/>
    <w:p>
      <w:pPr>
        <w:spacing w:after="0" w:line="282" w:lineRule="auto"/>
        <w:rPr>
          <w:sz w:val="20"/>
          <w:szCs w:val="20"/>
          <w:color w:val="auto"/>
        </w:rPr>
      </w:pPr>
      <w:r>
        <w:rPr>
          <w:rFonts w:ascii="Times New Roman" w:cs="Times New Roman" w:eastAsia="Times New Roman" w:hAnsi="Times New Roman"/>
          <w:sz w:val="18"/>
          <w:szCs w:val="18"/>
          <w:color w:val="auto"/>
        </w:rPr>
        <w:t>I confirm that you may continue to rely on this certificate as being true and correct on the day that you issue the Opinion unless I shall have previously notified you in writing personally to the contrary.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Ted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31375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Ted Kim</w:t>
      </w:r>
    </w:p>
    <w:p>
      <w:pPr>
        <w:spacing w:after="0" w:line="2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F-3 of K Wave Media Ltd. of our report dated May 15, 2026 relating to the financial statements, which appears in K Wave Media Ltd.’s Annual Report on Form 20-F for the year ended December 31, 2025.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Samil PricewaterhouseCoopers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Seoul, KOREA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F-3 of K Wave Media Ltd. of our report dated May 19, 2026 relating to the financial statements of Hansol Inticube Co. Ltd., which appears in K Wave Media Ltd.’s Report on Form 6-K/A filed with the SEC on June 29, 2026.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Samil PricewaterhouseCoopers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Seoul, KOREA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F-3</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K Wave Media Ltd.</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Fee</w:t>
            </w: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2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100" w:type="dxa"/>
            <w:vAlign w:val="bottom"/>
            <w:gridSpan w:val="2"/>
            <w:vMerge w:val="continue"/>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11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20" w:type="dxa"/>
            <w:vAlign w:val="bottom"/>
          </w:tcPr>
          <w:p>
            <w:pPr>
              <w:spacing w:after="0"/>
              <w:rPr>
                <w:sz w:val="12"/>
                <w:szCs w:val="12"/>
                <w:color w:val="auto"/>
              </w:rPr>
            </w:pPr>
          </w:p>
        </w:tc>
        <w:tc>
          <w:tcPr>
            <w:tcW w:w="9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80" w:type="dxa"/>
            <w:vAlign w:val="bottom"/>
            <w:gridSpan w:val="3"/>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Title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rPr>
              <w:t>Registered</w:t>
            </w:r>
            <w:r>
              <w:rPr>
                <w:rFonts w:ascii="Times New Roman" w:cs="Times New Roman" w:eastAsia="Times New Roman" w:hAnsi="Times New Roman"/>
                <w:sz w:val="20"/>
                <w:szCs w:val="20"/>
                <w:b w:val="1"/>
                <w:bCs w:val="1"/>
                <w:color w:val="auto"/>
                <w:vertAlign w:val="superscript"/>
              </w:rPr>
              <w:t>(1)</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104"/>
        </w:trPr>
        <w:tc>
          <w:tcPr>
            <w:tcW w:w="1300" w:type="dxa"/>
            <w:vAlign w:val="bottom"/>
            <w:tcBorders>
              <w:top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Newly Registered</w:t>
            </w:r>
          </w:p>
        </w:tc>
        <w:tc>
          <w:tcPr>
            <w:tcW w:w="8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Fees to Be Paid</w:t>
            </w:r>
          </w:p>
        </w:tc>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color w:val="auto"/>
              </w:rPr>
              <w:t>Equity</w:t>
            </w:r>
          </w:p>
        </w:tc>
        <w:tc>
          <w:tcPr>
            <w:tcW w:w="212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4"/>
                <w:szCs w:val="14"/>
                <w:color w:val="auto"/>
              </w:rPr>
              <w:t>Ordinary Shares, $0.0001 par</w:t>
            </w: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457(o)</w:t>
            </w:r>
          </w:p>
        </w:tc>
        <w:tc>
          <w:tcPr>
            <w:tcW w:w="840" w:type="dxa"/>
            <w:vAlign w:val="bottom"/>
          </w:tcPr>
          <w:p>
            <w:pPr>
              <w:spacing w:after="0"/>
              <w:rPr>
                <w:sz w:val="10"/>
                <w:szCs w:val="10"/>
                <w:color w:val="auto"/>
              </w:rPr>
            </w:pPr>
          </w:p>
        </w:tc>
        <w:tc>
          <w:tcPr>
            <w:tcW w:w="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860" w:type="dxa"/>
            <w:vAlign w:val="bottom"/>
          </w:tcPr>
          <w:p>
            <w:pPr>
              <w:spacing w:after="0"/>
              <w:rPr>
                <w:sz w:val="10"/>
                <w:szCs w:val="10"/>
                <w:color w:val="auto"/>
              </w:rPr>
            </w:pPr>
          </w:p>
        </w:tc>
        <w:tc>
          <w:tcPr>
            <w:tcW w:w="300" w:type="dxa"/>
            <w:vAlign w:val="bottom"/>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w w:val="85"/>
              </w:rPr>
              <w:t>(2)</w:t>
            </w:r>
          </w:p>
        </w:tc>
        <w:tc>
          <w:tcPr>
            <w:tcW w:w="100" w:type="dxa"/>
            <w:vAlign w:val="bottom"/>
          </w:tcPr>
          <w:p>
            <w:pPr>
              <w:spacing w:after="0"/>
              <w:rPr>
                <w:sz w:val="10"/>
                <w:szCs w:val="10"/>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0"/>
                <w:szCs w:val="10"/>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300" w:type="dxa"/>
            <w:vAlign w:val="bottom"/>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value per share</w:t>
            </w:r>
          </w:p>
        </w:tc>
        <w:tc>
          <w:tcPr>
            <w:tcW w:w="110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3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Fees to Be Paid</w:t>
            </w:r>
          </w:p>
        </w:tc>
        <w:tc>
          <w:tcPr>
            <w:tcW w:w="96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Equity</w:t>
            </w:r>
          </w:p>
        </w:tc>
        <w:tc>
          <w:tcPr>
            <w:tcW w:w="2120" w:type="dxa"/>
            <w:vAlign w:val="bottom"/>
            <w:gridSpan w:val="2"/>
            <w:shd w:val="clear" w:color="auto" w:fill="CCEEFF"/>
          </w:tcPr>
          <w:p>
            <w:pPr>
              <w:jc w:val="center"/>
              <w:ind w:right="100"/>
              <w:spacing w:after="0" w:line="126" w:lineRule="exact"/>
              <w:rPr>
                <w:sz w:val="20"/>
                <w:szCs w:val="20"/>
                <w:color w:val="auto"/>
              </w:rPr>
            </w:pPr>
            <w:r>
              <w:rPr>
                <w:rFonts w:ascii="Times New Roman" w:cs="Times New Roman" w:eastAsia="Times New Roman" w:hAnsi="Times New Roman"/>
                <w:sz w:val="14"/>
                <w:szCs w:val="14"/>
                <w:color w:val="auto"/>
              </w:rPr>
              <w:t>Preferred Shares, $0.0001 par</w:t>
            </w:r>
          </w:p>
        </w:tc>
        <w:tc>
          <w:tcPr>
            <w:tcW w:w="110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457(o)</w:t>
            </w:r>
          </w:p>
        </w:tc>
        <w:tc>
          <w:tcPr>
            <w:tcW w:w="84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86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85"/>
              </w:rPr>
              <w:t>(2)</w:t>
            </w:r>
          </w:p>
        </w:tc>
        <w:tc>
          <w:tcPr>
            <w:tcW w:w="10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300" w:type="dxa"/>
            <w:vAlign w:val="bottom"/>
            <w:vMerge w:val="continue"/>
            <w:shd w:val="clear" w:color="auto" w:fill="CCEEFF"/>
          </w:tcPr>
          <w:p>
            <w:pPr>
              <w:spacing w:after="0"/>
              <w:rPr>
                <w:sz w:val="14"/>
                <w:szCs w:val="14"/>
                <w:color w:val="auto"/>
              </w:rPr>
            </w:pPr>
          </w:p>
        </w:tc>
        <w:tc>
          <w:tcPr>
            <w:tcW w:w="960" w:type="dxa"/>
            <w:vAlign w:val="bottom"/>
            <w:gridSpan w:val="3"/>
            <w:vMerge w:val="continue"/>
            <w:shd w:val="clear" w:color="auto" w:fill="CCEEFF"/>
          </w:tcPr>
          <w:p>
            <w:pPr>
              <w:spacing w:after="0"/>
              <w:rPr>
                <w:sz w:val="14"/>
                <w:szCs w:val="14"/>
                <w:color w:val="auto"/>
              </w:rPr>
            </w:pP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value per share</w:t>
            </w:r>
          </w:p>
        </w:tc>
        <w:tc>
          <w:tcPr>
            <w:tcW w:w="1100" w:type="dxa"/>
            <w:vAlign w:val="bottom"/>
            <w:gridSpan w:val="2"/>
            <w:vMerge w:val="continue"/>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Fees to Be Paid</w:t>
            </w: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Debt</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Debt Securities</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457(o)</w:t>
            </w:r>
          </w:p>
        </w:tc>
        <w:tc>
          <w:tcPr>
            <w:tcW w:w="840" w:type="dxa"/>
            <w:vAlign w:val="bottom"/>
          </w:tcPr>
          <w:p>
            <w:pPr>
              <w:spacing w:after="0"/>
              <w:rPr>
                <w:sz w:val="16"/>
                <w:szCs w:val="16"/>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860" w:type="dxa"/>
            <w:vAlign w:val="bottom"/>
          </w:tcPr>
          <w:p>
            <w:pPr>
              <w:spacing w:after="0"/>
              <w:rPr>
                <w:sz w:val="16"/>
                <w:szCs w:val="16"/>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85"/>
              </w:rPr>
              <w:t>(2)</w:t>
            </w: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Fees to Be Paid</w:t>
            </w:r>
          </w:p>
        </w:tc>
        <w:tc>
          <w:tcPr>
            <w:tcW w:w="9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7"/>
              </w:rPr>
              <w:t>Warrants</w:t>
            </w: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457(o)</w:t>
            </w:r>
          </w:p>
        </w:tc>
        <w:tc>
          <w:tcPr>
            <w:tcW w:w="8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85"/>
              </w:rPr>
              <w:t>(2)</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Fees to Be Paid</w:t>
            </w: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Rights</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457(o)</w:t>
            </w:r>
          </w:p>
        </w:tc>
        <w:tc>
          <w:tcPr>
            <w:tcW w:w="840" w:type="dxa"/>
            <w:vAlign w:val="bottom"/>
          </w:tcPr>
          <w:p>
            <w:pPr>
              <w:spacing w:after="0"/>
              <w:rPr>
                <w:sz w:val="16"/>
                <w:szCs w:val="16"/>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860" w:type="dxa"/>
            <w:vAlign w:val="bottom"/>
          </w:tcPr>
          <w:p>
            <w:pPr>
              <w:spacing w:after="0"/>
              <w:rPr>
                <w:sz w:val="16"/>
                <w:szCs w:val="16"/>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85"/>
              </w:rPr>
              <w:t>(2)</w:t>
            </w: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Fees to Be Paid</w:t>
            </w:r>
          </w:p>
        </w:tc>
        <w:tc>
          <w:tcPr>
            <w:tcW w:w="9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Equity</w:t>
            </w:r>
          </w:p>
        </w:tc>
        <w:tc>
          <w:tcPr>
            <w:tcW w:w="2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Units</w:t>
            </w: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457(o)</w:t>
            </w:r>
          </w:p>
        </w:tc>
        <w:tc>
          <w:tcPr>
            <w:tcW w:w="8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85"/>
              </w:rPr>
              <w:t>(2)</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1300" w:type="dxa"/>
            <w:vAlign w:val="bottom"/>
          </w:tcPr>
          <w:p>
            <w:pPr>
              <w:spacing w:after="0"/>
              <w:rPr>
                <w:sz w:val="10"/>
                <w:szCs w:val="10"/>
                <w:color w:val="auto"/>
              </w:rPr>
            </w:pPr>
          </w:p>
        </w:tc>
        <w:tc>
          <w:tcPr>
            <w:tcW w:w="960" w:type="dxa"/>
            <w:vAlign w:val="bottom"/>
            <w:gridSpan w:val="3"/>
          </w:tcPr>
          <w:p>
            <w:pPr>
              <w:ind w:left="80"/>
              <w:spacing w:after="0" w:line="126" w:lineRule="exact"/>
              <w:rPr>
                <w:sz w:val="20"/>
                <w:szCs w:val="20"/>
                <w:color w:val="auto"/>
              </w:rPr>
            </w:pPr>
            <w:r>
              <w:rPr>
                <w:rFonts w:ascii="Times New Roman" w:cs="Times New Roman" w:eastAsia="Times New Roman" w:hAnsi="Times New Roman"/>
                <w:sz w:val="14"/>
                <w:szCs w:val="14"/>
                <w:color w:val="auto"/>
              </w:rPr>
              <w:t>Unallocated</w:t>
            </w: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9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color w:val="auto"/>
              </w:rPr>
              <w:t>(Universal)</w:t>
            </w: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860" w:type="dxa"/>
            <w:vAlign w:val="bottom"/>
          </w:tcPr>
          <w:p>
            <w:pPr>
              <w:spacing w:after="0"/>
              <w:rPr>
                <w:sz w:val="12"/>
                <w:szCs w:val="12"/>
                <w:color w:val="auto"/>
              </w:rPr>
            </w:pPr>
          </w:p>
        </w:tc>
        <w:tc>
          <w:tcPr>
            <w:tcW w:w="300" w:type="dxa"/>
            <w:vAlign w:val="bottom"/>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w w:val="85"/>
              </w:rPr>
              <w:t>(2)</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34,525</w:t>
            </w:r>
            <w:r>
              <w:rPr>
                <w:rFonts w:ascii="Times New Roman" w:cs="Times New Roman" w:eastAsia="Times New Roman" w:hAnsi="Times New Roman"/>
                <w:sz w:val="23"/>
                <w:szCs w:val="23"/>
                <w:color w:val="auto"/>
                <w:vertAlign w:val="superscript"/>
              </w:rPr>
              <w:t>(3)</w:t>
            </w:r>
          </w:p>
        </w:tc>
        <w:tc>
          <w:tcPr>
            <w:tcW w:w="0" w:type="dxa"/>
            <w:vAlign w:val="bottom"/>
          </w:tcPr>
          <w:p>
            <w:pPr>
              <w:spacing w:after="0"/>
              <w:rPr>
                <w:sz w:val="1"/>
                <w:szCs w:val="1"/>
                <w:color w:val="auto"/>
              </w:rPr>
            </w:pPr>
          </w:p>
        </w:tc>
      </w:tr>
      <w:tr>
        <w:trPr>
          <w:trHeight w:val="185"/>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Fees to Be Paid</w:t>
            </w: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Shelf</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457(o)</w:t>
            </w:r>
          </w:p>
        </w:tc>
        <w:tc>
          <w:tcPr>
            <w:tcW w:w="84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250,000,000</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0.0001381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3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Fees Previously Paid</w:t>
            </w: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30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Carry Forward</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Total Offering Amounts</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gridSpan w:val="2"/>
          </w:tcPr>
          <w:p>
            <w:pPr>
              <w:jc w:val="right"/>
              <w:ind w:right="340"/>
              <w:spacing w:after="0"/>
              <w:rPr>
                <w:sz w:val="20"/>
                <w:szCs w:val="20"/>
                <w:color w:val="auto"/>
              </w:rPr>
            </w:pPr>
            <w:r>
              <w:rPr>
                <w:rFonts w:ascii="Times New Roman" w:cs="Times New Roman" w:eastAsia="Times New Roman" w:hAnsi="Times New Roman"/>
                <w:sz w:val="8"/>
                <w:szCs w:val="8"/>
                <w:color w:val="auto"/>
                <w:w w:val="73"/>
              </w:rPr>
              <w:t>-</w:t>
            </w: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250,000,000</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34,525</w:t>
            </w:r>
          </w:p>
        </w:tc>
        <w:tc>
          <w:tcPr>
            <w:tcW w:w="0" w:type="dxa"/>
            <w:vAlign w:val="bottom"/>
          </w:tcPr>
          <w:p>
            <w:pPr>
              <w:spacing w:after="0"/>
              <w:rPr>
                <w:sz w:val="1"/>
                <w:szCs w:val="1"/>
                <w:color w:val="auto"/>
              </w:rPr>
            </w:pPr>
          </w:p>
        </w:tc>
      </w:tr>
      <w:tr>
        <w:trPr>
          <w:trHeight w:val="148"/>
        </w:trPr>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2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Total Fees Previously Paid</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8"/>
                <w:szCs w:val="8"/>
                <w:color w:val="auto"/>
                <w:w w:val="73"/>
              </w:rPr>
              <w:t>-</w:t>
            </w: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Fee Offsets</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gridSpan w:val="2"/>
          </w:tcPr>
          <w:p>
            <w:pPr>
              <w:jc w:val="right"/>
              <w:ind w:right="340"/>
              <w:spacing w:after="0"/>
              <w:rPr>
                <w:sz w:val="20"/>
                <w:szCs w:val="20"/>
                <w:color w:val="auto"/>
              </w:rPr>
            </w:pPr>
            <w:r>
              <w:rPr>
                <w:rFonts w:ascii="Times New Roman" w:cs="Times New Roman" w:eastAsia="Times New Roman" w:hAnsi="Times New Roman"/>
                <w:sz w:val="8"/>
                <w:szCs w:val="8"/>
                <w:color w:val="auto"/>
                <w:w w:val="73"/>
              </w:rPr>
              <w:t>-</w:t>
            </w: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13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120" w:type="dxa"/>
            <w:vAlign w:val="bottom"/>
            <w:tcBorders>
              <w:top w:val="single" w:sz="8" w:color="CCEEFF"/>
              <w:bottom w:val="single" w:sz="8" w:color="CCEEFF"/>
            </w:tcBorders>
            <w:gridSpan w:val="2"/>
            <w:shd w:val="clear" w:color="auto" w:fill="CCEEFF"/>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Net Fee Due</w:t>
            </w:r>
          </w:p>
        </w:tc>
        <w:tc>
          <w:tcPr>
            <w:tcW w:w="9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86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34,525</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2" w:lineRule="exact"/>
        <w:rPr>
          <w:sz w:val="20"/>
          <w:szCs w:val="20"/>
          <w:color w:val="auto"/>
        </w:rPr>
      </w:pPr>
    </w:p>
    <w:p>
      <w:pPr>
        <w:jc w:val="both"/>
        <w:ind w:left="340" w:hanging="332"/>
        <w:spacing w:after="0" w:line="219" w:lineRule="auto"/>
        <w:tabs>
          <w:tab w:leader="none" w:pos="34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An indeterminate amount or number of the securities of each identified class described in this registration statement is being registered as may from time to time be issued by the registrant at indeterminate prices in U.S. dollars, and subject to Rule 462(b) under the Securities Act, in no event will the aggregate maximum offering price of all securities sold by the registrant pursuant to this registration statement exceed $250,000,000 or the equivalent thereof in one or more foreign currencies, foreign currency units or composite currencies.</w:t>
      </w:r>
    </w:p>
    <w:p>
      <w:pPr>
        <w:jc w:val="both"/>
        <w:ind w:left="340" w:right="20" w:hanging="332"/>
        <w:spacing w:after="0" w:line="204" w:lineRule="auto"/>
        <w:tabs>
          <w:tab w:leader="none" w:pos="340"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proposed maximum aggregate offering price for each class of securities will be determined from time to time by the registrant in connection with the issuance by the registrant of the securities registered hereunder and is not specified as to each class of securities pursuant to General Instruction II.G. of Form F-3 under the Securities Act.</w:t>
      </w:r>
    </w:p>
    <w:p>
      <w:pPr>
        <w:spacing w:after="0" w:line="2" w:lineRule="exact"/>
        <w:rPr>
          <w:rFonts w:ascii="Times New Roman" w:cs="Times New Roman" w:eastAsia="Times New Roman" w:hAnsi="Times New Roman"/>
          <w:sz w:val="30"/>
          <w:szCs w:val="30"/>
          <w:color w:val="auto"/>
          <w:vertAlign w:val="superscript"/>
        </w:rPr>
      </w:pPr>
    </w:p>
    <w:p>
      <w:pPr>
        <w:ind w:left="340" w:hanging="332"/>
        <w:spacing w:after="0" w:line="180" w:lineRule="auto"/>
        <w:tabs>
          <w:tab w:leader="none" w:pos="340" w:val="left"/>
        </w:tabs>
        <w:numPr>
          <w:ilvl w:val="0"/>
          <w:numId w:val="5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Estimated solely for the purposes of calculating the registration fee pursuant to Rule 457(o) of Regulation C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lowerRoman"/>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1)"/>
      <w:numFmt w:val="lowerRoman"/>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4">
    <w:nsid w:val="5C482A97"/>
    <w:multiLevelType w:val="hybridMultilevel"/>
    <w:lvl w:ilvl="0">
      <w:lvlJc w:val="left"/>
      <w:lvlText w:val="(%1)"/>
      <w:numFmt w:val="decimal"/>
      <w:start w:val="2"/>
    </w:lvl>
    <w:lvl w:ilvl="1">
      <w:lvlJc w:val="left"/>
      <w:lvlText w:val="(%2)"/>
      <w:numFmt w:val="upperLetter"/>
      <w:start w:val="1"/>
    </w:lvl>
  </w:abstractNum>
  <w:abstractNum w:abstractNumId="25">
    <w:nsid w:val="2463B9EA"/>
    <w:multiLevelType w:val="hybridMultilevel"/>
    <w:lvl w:ilvl="0">
      <w:lvlJc w:val="left"/>
      <w:lvlText w:val="%1"/>
      <w:numFmt w:val="lowerLetter"/>
      <w:start w:val="1"/>
    </w:lvl>
    <w:lvl w:ilvl="1">
      <w:lvlJc w:val="left"/>
      <w:lvlText w:val="(%2)"/>
      <w:numFmt w:val="lowerRoman"/>
      <w:start w:val="2"/>
    </w:lvl>
  </w:abstractNum>
  <w:abstractNum w:abstractNumId="26">
    <w:nsid w:val="5E884ADC"/>
    <w:multiLevelType w:val="hybridMultilevel"/>
    <w:lvl w:ilvl="0">
      <w:lvlJc w:val="left"/>
      <w:lvlText w:val="(%1)"/>
      <w:numFmt w:val="lowerLetter"/>
      <w:start w:val="2"/>
    </w:lvl>
    <w:lvl w:ilvl="1">
      <w:lvlJc w:val="left"/>
      <w:lvlText w:val="%2"/>
      <w:numFmt w:val="lowerRoman"/>
      <w:start w:val="1"/>
    </w:lvl>
  </w:abstractNum>
  <w:abstractNum w:abstractNumId="27">
    <w:nsid w:val="51EAD36B"/>
    <w:multiLevelType w:val="hybridMultilevel"/>
    <w:lvl w:ilvl="0">
      <w:lvlJc w:val="left"/>
      <w:lvlText w:val="%1"/>
      <w:numFmt w:val="decimal"/>
      <w:start w:val="101"/>
    </w:lvl>
  </w:abstractNum>
  <w:abstractNum w:abstractNumId="28">
    <w:nsid w:val="2D517796"/>
    <w:multiLevelType w:val="hybridMultilevel"/>
    <w:lvl w:ilvl="0">
      <w:lvlJc w:val="left"/>
      <w:lvlText w:val="%1"/>
      <w:numFmt w:val="decimal"/>
      <w:start w:val="104"/>
    </w:lvl>
  </w:abstractNum>
  <w:abstractNum w:abstractNumId="29">
    <w:nsid w:val="580BD78F"/>
    <w:multiLevelType w:val="hybridMultilevel"/>
    <w:lvl w:ilvl="0">
      <w:lvlJc w:val="left"/>
      <w:lvlText w:val="%1"/>
      <w:numFmt w:val="decimal"/>
      <w:start w:val="107"/>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1)"/>
      <w:numFmt w:val="lowerLetter"/>
      <w:start w:val="1"/>
    </w:lvl>
  </w:abstractNum>
  <w:abstractNum w:abstractNumId="32">
    <w:nsid w:val="70A64E2A"/>
    <w:multiLevelType w:val="hybridMultilevel"/>
    <w:lvl w:ilvl="0">
      <w:lvlJc w:val="left"/>
      <w:lvlText w:val="1"/>
      <w:numFmt w:val="bullet"/>
      <w:start w:val="1"/>
    </w:lvl>
  </w:abstractNum>
  <w:abstractNum w:abstractNumId="33">
    <w:nsid w:val="6A2342EC"/>
    <w:multiLevelType w:val="hybridMultilevel"/>
    <w:lvl w:ilvl="0">
      <w:lvlJc w:val="left"/>
      <w:lvlText w:val="(%1)"/>
      <w:numFmt w:val="lowerLetter"/>
      <w:start w:val="1"/>
    </w:lvl>
  </w:abstractNum>
  <w:abstractNum w:abstractNumId="34">
    <w:nsid w:val="2A487CB0"/>
    <w:multiLevelType w:val="hybridMultilevel"/>
    <w:lvl w:ilvl="0">
      <w:lvlJc w:val="left"/>
      <w:lvlText w:val="2"/>
      <w:numFmt w:val="bullet"/>
      <w:start w:val="1"/>
    </w:lvl>
  </w:abstractNum>
  <w:abstractNum w:abstractNumId="35">
    <w:nsid w:val="1D4ED43B"/>
    <w:multiLevelType w:val="hybridMultilevel"/>
    <w:lvl w:ilvl="0">
      <w:lvlJc w:val="left"/>
      <w:lvlText w:val="3"/>
      <w:numFmt w:val="bullet"/>
      <w:start w:val="1"/>
    </w:lvl>
  </w:abstractNum>
  <w:abstractNum w:abstractNumId="36">
    <w:nsid w:val="725A06FB"/>
    <w:multiLevelType w:val="hybridMultilevel"/>
    <w:lvl w:ilvl="0">
      <w:lvlJc w:val="left"/>
      <w:lvlText w:val="4"/>
      <w:numFmt w:val="bullet"/>
      <w:start w:val="1"/>
    </w:lvl>
  </w:abstractNum>
  <w:abstractNum w:abstractNumId="37">
    <w:nsid w:val="2CD89A32"/>
    <w:multiLevelType w:val="hybridMultilevel"/>
    <w:lvl w:ilvl="0">
      <w:lvlJc w:val="left"/>
      <w:lvlText w:val="(%1)"/>
      <w:numFmt w:val="lowerLetter"/>
      <w:start w:val="1"/>
    </w:lvl>
  </w:abstractNum>
  <w:abstractNum w:abstractNumId="38">
    <w:nsid w:val="57E4CCAF"/>
    <w:multiLevelType w:val="hybridMultilevel"/>
    <w:lvl w:ilvl="0">
      <w:lvlJc w:val="left"/>
      <w:lvlText w:val="(%1)"/>
      <w:numFmt w:val="lowerLetter"/>
      <w:start w:val="3"/>
    </w:lvl>
  </w:abstractNum>
  <w:abstractNum w:abstractNumId="39">
    <w:nsid w:val="7A6D8D3C"/>
    <w:multiLevelType w:val="hybridMultilevel"/>
    <w:lvl w:ilvl="0">
      <w:lvlJc w:val="left"/>
      <w:lvlText w:val="(%1)"/>
      <w:numFmt w:val="lowerLetter"/>
      <w:start w:val="14"/>
    </w:lvl>
  </w:abstractNum>
  <w:abstractNum w:abstractNumId="40">
    <w:nsid w:val="4B588F54"/>
    <w:multiLevelType w:val="hybridMultilevel"/>
    <w:lvl w:ilvl="0">
      <w:lvlJc w:val="left"/>
      <w:lvlText w:val="1"/>
      <w:numFmt w:val="bullet"/>
      <w:start w:val="1"/>
    </w:lvl>
  </w:abstractNum>
  <w:abstractNum w:abstractNumId="41">
    <w:nsid w:val="542289EC"/>
    <w:multiLevelType w:val="hybridMultilevel"/>
    <w:lvl w:ilvl="0">
      <w:lvlJc w:val="left"/>
      <w:lvlText w:val="2"/>
      <w:numFmt w:val="bullet"/>
      <w:start w:val="1"/>
    </w:lvl>
  </w:abstractNum>
  <w:abstractNum w:abstractNumId="42">
    <w:nsid w:val="6DE91B18"/>
    <w:multiLevelType w:val="hybridMultilevel"/>
    <w:lvl w:ilvl="0">
      <w:lvlJc w:val="left"/>
      <w:lvlText w:val="3"/>
      <w:numFmt w:val="bullet"/>
      <w:start w:val="1"/>
    </w:lvl>
  </w:abstractNum>
  <w:abstractNum w:abstractNumId="43">
    <w:nsid w:val="38437FDB"/>
    <w:multiLevelType w:val="hybridMultilevel"/>
    <w:lvl w:ilvl="0">
      <w:lvlJc w:val="left"/>
      <w:lvlText w:val="4"/>
      <w:numFmt w:val="bullet"/>
      <w:start w:val="1"/>
    </w:lvl>
  </w:abstractNum>
  <w:abstractNum w:abstractNumId="44">
    <w:nsid w:val="7644A45C"/>
    <w:multiLevelType w:val="hybridMultilevel"/>
    <w:lvl w:ilvl="0">
      <w:lvlJc w:val="left"/>
      <w:lvlText w:val="5"/>
      <w:numFmt w:val="bullet"/>
      <w:start w:val="1"/>
    </w:lvl>
  </w:abstractNum>
  <w:abstractNum w:abstractNumId="45">
    <w:nsid w:val="32FFF902"/>
    <w:multiLevelType w:val="hybridMultilevel"/>
    <w:lvl w:ilvl="0">
      <w:lvlJc w:val="left"/>
      <w:lvlText w:val="6"/>
      <w:numFmt w:val="bullet"/>
      <w:start w:val="1"/>
    </w:lvl>
  </w:abstractNum>
  <w:abstractNum w:abstractNumId="46">
    <w:nsid w:val="684A481A"/>
    <w:multiLevelType w:val="hybridMultilevel"/>
    <w:lvl w:ilvl="0">
      <w:lvlJc w:val="left"/>
      <w:lvlText w:val="7"/>
      <w:numFmt w:val="bullet"/>
      <w:start w:val="1"/>
    </w:lvl>
  </w:abstractNum>
  <w:abstractNum w:abstractNumId="47">
    <w:nsid w:val="579478FE"/>
    <w:multiLevelType w:val="hybridMultilevel"/>
    <w:lvl w:ilvl="0">
      <w:lvlJc w:val="left"/>
      <w:lvlText w:val="8"/>
      <w:numFmt w:val="bullet"/>
      <w:start w:val="1"/>
    </w:lvl>
  </w:abstractNum>
  <w:abstractNum w:abstractNumId="48">
    <w:nsid w:val="749ABB43"/>
    <w:multiLevelType w:val="hybridMultilevel"/>
    <w:lvl w:ilvl="0">
      <w:lvlJc w:val="left"/>
      <w:lvlText w:val="9"/>
      <w:numFmt w:val="bullet"/>
      <w:start w:val="1"/>
    </w:lvl>
  </w:abstractNum>
  <w:abstractNum w:abstractNumId="49">
    <w:nsid w:val="3DC240FB"/>
    <w:multiLevelType w:val="hybridMultilevel"/>
    <w:lvl w:ilvl="0">
      <w:lvlJc w:val="left"/>
      <w:lvlText w:val="%1"/>
      <w:numFmt w:val="decimal"/>
      <w:start w:val="10"/>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jpeg"/><Relationship Id="rId96" Type="http://schemas.openxmlformats.org/officeDocument/2006/relationships/image" Target="media/image78.png"/><Relationship Id="rId97" Type="http://schemas.openxmlformats.org/officeDocument/2006/relationships/image" Target="media/image79.jpe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64" Type="http://schemas.openxmlformats.org/officeDocument/2006/relationships/hyperlink" Target="https://www.sec.gov/ix?doc=/Archives/edgar/data/2000756/000182912626005357/kwavemedia_20f.htm" TargetMode="External"/><Relationship Id="rId65" Type="http://schemas.openxmlformats.org/officeDocument/2006/relationships/hyperlink" Target="https://www.sec.gov/ix?doc=/Archives/edgar/data/2000756/000182912626006994/kwavemedia_6ka.htm" TargetMode="External"/><Relationship Id="rId70" Type="http://schemas.openxmlformats.org/officeDocument/2006/relationships/hyperlink" Target="https://www.sec.gov/Archives/edgar/data/2000756/000182912626001496/kwavemedia_ex99-1.htm" TargetMode="External"/><Relationship Id="rId71" Type="http://schemas.openxmlformats.org/officeDocument/2006/relationships/hyperlink" Target="https://www.sec.gov/Archives/edgar/data/2000756/000182912626002393/kwavemedia_ex99-1.htm" TargetMode="External"/><Relationship Id="rId72" Type="http://schemas.openxmlformats.org/officeDocument/2006/relationships/hyperlink" Target="https://www.sec.gov/Archives/edgar/data/2000756/000182912626006041/kwavemedia_ex99-1.htm" TargetMode="External"/><Relationship Id="rId73" Type="http://schemas.openxmlformats.org/officeDocument/2006/relationships/hyperlink" Target="https://www.sec.gov/Archives/edgar/data/2000756/000182912626006041/kwavemedia_ex99-2.htm" TargetMode="External"/><Relationship Id="rId74" Type="http://schemas.openxmlformats.org/officeDocument/2006/relationships/hyperlink" Target="https://www.sec.gov/Archives/edgar/data/2000756/000182912626006994/kwavemedia_ex99-1.htm" TargetMode="External"/><Relationship Id="rId75" Type="http://schemas.openxmlformats.org/officeDocument/2006/relationships/hyperlink" Target="https://www.sec.gov/ix?doc=/Archives/edgar/data/2000756/000182912626006994/kwavemedia_ex99-2.htm" TargetMode="External"/><Relationship Id="rId76" Type="http://schemas.openxmlformats.org/officeDocument/2006/relationships/hyperlink" Target="https://www.sec.gov/Archives/edgar/data/2000756/000182912625003630/kwavemedia_8a12b.htm" TargetMode="External"/><Relationship Id="rId87" Type="http://schemas.openxmlformats.org/officeDocument/2006/relationships/hyperlink" Target="https://www.sec.gov/Archives/edgar/data/1922331/000182912625000117/globalstaracq_defm14a.htm#annex-b" TargetMode="External"/><Relationship Id="rId88" Type="http://schemas.openxmlformats.org/officeDocument/2006/relationships/hyperlink" Target="https://www.sec.gov/Archives/edgar/data/2000756/000182912624001882/kwavemedia_ex4-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2026-06-30T16:51:22Z</dcterms:created>
  <dcterms:modified xsi:type="dcterms:W3CDTF">2026-06-30T16:51:22Z</dcterms:modified>
</cp:coreProperties>
</file>