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293370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327660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140970</wp:posOffset>
            </wp:positionV>
            <wp:extent cx="1781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5"/>
          <w:szCs w:val="25"/>
          <w:b w:val="1"/>
          <w:bCs w:val="1"/>
          <w:color w:val="auto"/>
        </w:rPr>
        <w:t>FORM 6-K/A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158115</wp:posOffset>
            </wp:positionV>
            <wp:extent cx="1781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155575</wp:posOffset>
            </wp:positionV>
            <wp:extent cx="1781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158115</wp:posOffset>
            </wp:positionV>
            <wp:extent cx="1781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Maples Corporate Services Limited</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PO Box 309, Ugland House</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(703) 790-0717</w:t>
      </w:r>
    </w:p>
    <w:p>
      <w:pPr>
        <w:spacing w:after="0" w:line="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140970</wp:posOffset>
            </wp:positionV>
            <wp:extent cx="1781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3"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204470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561975</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72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22, 2026, K Wave Media Ltd., a Cayman Island exempted company (the “Company”), filed a Form 6-K (the “Form 6-K”) furnishing (i) as Exhibit 99.1 to the Form 6-K, the audited financial statements of Hansol Inticube Co. (“Hansol”) for the year ended December 31, 2025, and (ii) as Exhibit 99.2 to the Form 6-K, unaudited pro forma condensed combined balance sheet information regarding the Company and Hansol as of December 31, 2025, and unaudited pro forma condensed combined statements of operation for the year ended December 31,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has been determined by the Company that the Form 6-K should be amended in its entirety to correct errors in the unaudited pro forma condensed balance sheet and statements of operations of the Company and Hansol, and to include the previously omitted audit report on the financial statements of Hansol. Accordingly, this Amendment No. 1 to the Form 6-K is being filed to amend the Form 6-K in its entirety. Readers should refer to the information herein and to Exhibit 99.1 and Exhibit 99.2 attached hereto and not the information in the Form 6-K and Exhibit 99.1 and Exhibit 99.2 attached thereto which were previously filed on May 22, 2026. Attached hereto (i) as Exhibit 99.1 are the audited financial statements of Hansol for the year ended December 31, 2025, and (ii) as Exhibit 99.2 to the Form 6-K, unaudited pro forma condensed combined balance sheet information regarding the Company and Hansol as of December 31, 2025, and unaudited pro forma condensed combined statements of operation for the year ended December 31, 2025, as amended.</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included in this Amendment No. 1 to Form 6-K is presented for illustrative purposes only, contains a variety of adjustments, assumptions and estimates, and is not necessarily indicative of what the combined company’s actual financial position or results of operations would have been had the transactions been completed on the date indicated. The combined company’s actual results and financial position may differ materially and adversely from the unaudited pro forma condensed combined financial information included in this Amendment No. 1 to Form 6-K. Important factors that may affect actual results include, but are not limited to, risks and uncertainties relating Hansol’s or the Company’s business, as applicable (including each company’s ability to achieve strategic goals, objectives, and targets over applicable periods), the possibility that the dispositions of Solaire and/or Play are not consummated, industry performance, and general business and economic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6-K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including those set forth in any subsequent filings with the U.S. Securities and Exchange Commission (the “SEC”). Copies of the Company’s filings with the SEC are available on the SEC’s website, www.sec.gov. The Company expressly disclaims any obligations or undertaking to release publicly any updates or revisions to any forward-looking statements to reflect any change in the Company’s expectations or any change in events, conditions or circumstances on which any statement is based.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8"/>
        </w:trPr>
        <w:tc>
          <w:tcPr>
            <w:tcW w:w="1020" w:type="dxa"/>
            <w:vAlign w:val="bottom"/>
            <w:tcBorders>
              <w:top w:val="single" w:sz="8" w:color="auto"/>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560" w:type="dxa"/>
            <w:vAlign w:val="bottom"/>
            <w:tcBorders>
              <w:top w:val="single" w:sz="8" w:color="auto"/>
              <w:bottom w:val="single" w:sz="8" w:color="0000EE"/>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EE"/>
                <w:w w:val="99"/>
              </w:rPr>
              <w:t>Audited financial statements of Hansol Inticube Co. for the year ended December 31, 2025.</w:t>
            </w:r>
          </w:p>
        </w:tc>
        <w:tc>
          <w:tcPr>
            <w:tcW w:w="3540" w:type="dxa"/>
            <w:vAlign w:val="bottom"/>
            <w:tcBorders>
              <w:top w:val="single" w:sz="8" w:color="auto"/>
              <w:bottom w:val="single" w:sz="8" w:color="CCEEFF"/>
            </w:tcBorders>
            <w:gridSpan w:val="2"/>
            <w:shd w:val="clear" w:color="auto" w:fill="CCEEFF"/>
          </w:tcPr>
          <w:p>
            <w:pPr>
              <w:spacing w:after="0"/>
              <w:rPr>
                <w:sz w:val="16"/>
                <w:szCs w:val="16"/>
                <w:color w:val="auto"/>
              </w:rPr>
            </w:pP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5" w:lineRule="exact"/>
              <w:rPr>
                <w:sz w:val="20"/>
                <w:szCs w:val="20"/>
                <w:color w:val="auto"/>
              </w:rPr>
            </w:pPr>
            <w:r>
              <w:rPr>
                <w:rFonts w:ascii="Times New Roman" w:cs="Times New Roman" w:eastAsia="Times New Roman" w:hAnsi="Times New Roman"/>
                <w:sz w:val="18"/>
                <w:szCs w:val="18"/>
                <w:color w:val="0000EE"/>
              </w:rPr>
              <w:t>Unaudited pro forma condensed combined balance sheet of the Company and Hansol Inticube Co. as of December 31, 2025, and unaudited</w:t>
            </w:r>
          </w:p>
        </w:tc>
      </w:tr>
      <w:tr>
        <w:trPr>
          <w:trHeight w:val="195"/>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rPr>
              <w:t>pro forma condensed combined statements of operation of the Company and Hansol Inticube Co. for the year ended December 31, 2025.</w:t>
            </w:r>
          </w:p>
        </w:tc>
      </w:tr>
      <w:tr>
        <w:trPr>
          <w:trHeight w:val="577"/>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top w:val="single" w:sz="8" w:color="0000EE"/>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322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K Wave Media Ltd.</w:t>
            </w:r>
          </w:p>
        </w:tc>
      </w:tr>
      <w:tr>
        <w:trPr>
          <w:trHeight w:val="4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Ted Kim</w:t>
            </w:r>
          </w:p>
        </w:tc>
      </w:tr>
      <w:tr>
        <w:trPr>
          <w:trHeight w:val="190"/>
        </w:trPr>
        <w:tc>
          <w:tcPr>
            <w:tcW w:w="3500" w:type="dxa"/>
            <w:vAlign w:val="bottom"/>
          </w:tcPr>
          <w:p>
            <w:pPr>
              <w:spacing w:after="0"/>
              <w:rPr>
                <w:sz w:val="16"/>
                <w:szCs w:val="16"/>
                <w:color w:val="auto"/>
              </w:rPr>
            </w:pPr>
          </w:p>
        </w:tc>
        <w:tc>
          <w:tcPr>
            <w:tcW w:w="2700" w:type="dxa"/>
            <w:vAlign w:val="bottom"/>
          </w:tcPr>
          <w:p>
            <w:pPr>
              <w:ind w:left="2140"/>
              <w:spacing w:after="0" w:line="190"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Ted Kim</w:t>
            </w:r>
          </w:p>
        </w:tc>
      </w:tr>
      <w:tr>
        <w:trPr>
          <w:trHeight w:val="233"/>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57"/>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852170" cy="494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2170"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Hansol Inticube Co. Ltd.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Qualified Opinion</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Hansol Inticube Co. Ltd. and its subsidiary (the “Company”), which comprise the consolidated statement of financial position as of December 31, 2025, and the related consolidated statement of comprehensive income, of changes in equity and of cash flows for the year then ended, including the related notes (collectively referred to as the “financial statement”). In our opinion, except for the effects of the matter described in the Basis for Qualified Opinion section of our report, the accompanying consolidated financial statements present fairly, in all material respects, the financial position of the Company as of December 31, 2025, and the results of its operations and its cash flows for the year then ended in accordance with International Financial Reporting Standards as issued by the International Accounting Standards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Qualified Opinion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consolidated financial statements do not include comparative figures or required transition disclosures as required by IAS 1, “Presentation of Financial Statements”, which constitutes a departure from International Financial Reporting Standards as issued by the International Accounting Standards Board.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(US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qualified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Consolidated Financial Statements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consolidated financial statements in accordance with International Financial Reporting Standards as issued by the International Accounting Standards Board, and for the design, implementation, and maintenance of internal control relevant to the preparation and fair presentation of consolidated financial statements that are free from material misstatement, whether due to fraud or error.</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responsible for assessing the Company’s ability to continue as a going concern for at least, but not limited to, twelve months from the end of the reporting period, disclosing, as applicable, matters related to going concern and using the going concern basis of accounting unless management either intends to liquidate the Company or to cease operations, or has no realistic alternative but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Consolidated Financial Statements</w:t>
      </w: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US GAAS, we:</w:t>
      </w:r>
    </w:p>
    <w:p>
      <w:pPr>
        <w:spacing w:after="0" w:line="222" w:lineRule="exact"/>
        <w:rPr>
          <w:sz w:val="20"/>
          <w:szCs w:val="20"/>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2"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75"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Company’s internal control. Accordingly, no such opinion is expressed.</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Company’s ability to continue as a going concern for a reasonable period of time.</w:t>
      </w:r>
    </w:p>
    <w:p>
      <w:pPr>
        <w:spacing w:after="0" w:line="16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2130425" cy="332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0425"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Seoul, KOREA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7"/>
        </w:trPr>
        <w:tc>
          <w:tcPr>
            <w:tcW w:w="8400" w:type="dxa"/>
            <w:vAlign w:val="bottom"/>
          </w:tcPr>
          <w:p>
            <w:pPr>
              <w:jc w:val="center"/>
              <w:ind w:left="2771"/>
              <w:spacing w:after="0"/>
              <w:rPr>
                <w:sz w:val="20"/>
                <w:szCs w:val="20"/>
                <w:color w:val="auto"/>
              </w:rPr>
            </w:pPr>
            <w:r>
              <w:rPr>
                <w:rFonts w:ascii="Times New Roman" w:cs="Times New Roman" w:eastAsia="Times New Roman" w:hAnsi="Times New Roman"/>
                <w:sz w:val="18"/>
                <w:szCs w:val="18"/>
                <w:b w:val="1"/>
                <w:bCs w:val="1"/>
                <w:color w:val="auto"/>
                <w:w w:val="99"/>
              </w:rPr>
              <w:t>Hansol Inticube Co. Ltd.</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8400" w:type="dxa"/>
            <w:vAlign w:val="bottom"/>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FINANCIAL POSITION</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400" w:type="dxa"/>
            <w:vAlign w:val="bottom"/>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400" w:type="dxa"/>
            <w:vAlign w:val="bottom"/>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4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8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Korean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5,34</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2,295,358,918</w:t>
            </w: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financial instruments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7,34,35</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11,294,243,542</w:t>
            </w: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assets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3,815,286,232</w:t>
            </w: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901,244,164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tax assets</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45,540</w:t>
            </w: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9,15</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4,357,182,863</w:t>
            </w:r>
          </w:p>
        </w:tc>
        <w:tc>
          <w:tcPr>
            <w:tcW w:w="0" w:type="dxa"/>
            <w:vAlign w:val="bottom"/>
          </w:tcPr>
          <w:p>
            <w:pPr>
              <w:spacing w:after="0"/>
              <w:rPr>
                <w:sz w:val="1"/>
                <w:szCs w:val="1"/>
                <w:color w:val="auto"/>
              </w:rPr>
            </w:pPr>
          </w:p>
        </w:tc>
      </w:tr>
      <w:tr>
        <w:trPr>
          <w:trHeight w:val="208"/>
        </w:trPr>
        <w:tc>
          <w:tcPr>
            <w:tcW w:w="8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22,669,197,834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other receivables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7,34</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595,593,357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6,10,34</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1,005,980,280</w:t>
            </w: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1,222,485,688</w:t>
            </w: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1,043,820,293</w:t>
            </w: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3,761,304,163</w:t>
            </w: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2,282,215,631</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369,646,310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10,281,045,722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32,950,243,556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4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13,34,35</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9,725,481,984</w:t>
            </w: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contract liabilities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4,719,110,717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16,34,36</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769,706,446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non-financial liabilities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1,456,444,515</w:t>
            </w: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provisions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432,506,512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tax liabilities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17,104,869,121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854,834,500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long-term employee benefits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176,138,476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liabilities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861,164,337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16,34,36</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272,137,059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4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173,497,772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2,337,772,144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19,442,641,265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0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capital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6,939,760,500</w:t>
            </w:r>
          </w:p>
        </w:tc>
        <w:tc>
          <w:tcPr>
            <w:tcW w:w="0" w:type="dxa"/>
            <w:vAlign w:val="bottom"/>
          </w:tcPr>
          <w:p>
            <w:pPr>
              <w:spacing w:after="0"/>
              <w:rPr>
                <w:sz w:val="1"/>
                <w:szCs w:val="1"/>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reserves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21,32</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10,436,120,041</w:t>
            </w: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(4,346,336,892)</w:t>
            </w: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Parent Company</w:t>
            </w: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13,029,543,649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478,058,642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13,507,602,291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32,950,243,556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7"/>
        </w:trPr>
        <w:tc>
          <w:tcPr>
            <w:tcW w:w="8400" w:type="dxa"/>
            <w:vAlign w:val="bottom"/>
          </w:tcPr>
          <w:p>
            <w:pPr>
              <w:jc w:val="center"/>
              <w:ind w:left="2771"/>
              <w:spacing w:after="0"/>
              <w:rPr>
                <w:sz w:val="20"/>
                <w:szCs w:val="20"/>
                <w:color w:val="auto"/>
              </w:rPr>
            </w:pPr>
            <w:r>
              <w:rPr>
                <w:rFonts w:ascii="Times New Roman" w:cs="Times New Roman" w:eastAsia="Times New Roman" w:hAnsi="Times New Roman"/>
                <w:sz w:val="18"/>
                <w:szCs w:val="18"/>
                <w:b w:val="1"/>
                <w:bCs w:val="1"/>
                <w:color w:val="auto"/>
                <w:w w:val="99"/>
              </w:rPr>
              <w:t>Hansol Inticube Co. Ltd.</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8400" w:type="dxa"/>
            <w:vAlign w:val="bottom"/>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COMPREHENSIVE INCOME</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8400" w:type="dxa"/>
            <w:vAlign w:val="bottom"/>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2025</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8400" w:type="dxa"/>
            <w:vAlign w:val="bottom"/>
          </w:tcPr>
          <w:p>
            <w:pPr>
              <w:spacing w:after="0"/>
              <w:rPr>
                <w:sz w:val="24"/>
                <w:szCs w:val="24"/>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4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r>
      <w:tr>
        <w:trPr>
          <w:trHeight w:val="186"/>
        </w:trPr>
        <w:tc>
          <w:tcPr>
            <w:tcW w:w="8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Korean</w:t>
            </w:r>
          </w:p>
        </w:tc>
        <w:tc>
          <w:tcPr>
            <w:tcW w:w="100" w:type="dxa"/>
            <w:vAlign w:val="bottom"/>
          </w:tcPr>
          <w:p>
            <w:pPr>
              <w:spacing w:after="0"/>
              <w:rPr>
                <w:sz w:val="16"/>
                <w:szCs w:val="16"/>
                <w:color w:val="auto"/>
              </w:rPr>
            </w:pPr>
          </w:p>
        </w:tc>
      </w:tr>
      <w:tr>
        <w:trPr>
          <w:trHeight w:val="237"/>
        </w:trPr>
        <w:tc>
          <w:tcPr>
            <w:tcW w:w="8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4,23</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64,818,242,303</w:t>
            </w:r>
          </w:p>
        </w:tc>
      </w:tr>
      <w:tr>
        <w:trPr>
          <w:trHeight w:val="215"/>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24,31</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49,281,096,476</w:t>
            </w:r>
          </w:p>
        </w:tc>
      </w:tr>
      <w:tr>
        <w:trPr>
          <w:trHeight w:val="208"/>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15,537,145,827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25,31</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14,490,163,763</w:t>
            </w: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164,109,772</w:t>
            </w:r>
          </w:p>
        </w:tc>
        <w:tc>
          <w:tcPr>
            <w:tcW w:w="100" w:type="dxa"/>
            <w:vAlign w:val="bottom"/>
            <w:shd w:val="clear" w:color="auto" w:fill="CCEEFF"/>
          </w:tcPr>
          <w:p>
            <w:pPr>
              <w:spacing w:after="0"/>
              <w:rPr>
                <w:sz w:val="18"/>
                <w:szCs w:val="18"/>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112,552,103</w:t>
            </w:r>
          </w:p>
        </w:tc>
      </w:tr>
      <w:tr>
        <w:trPr>
          <w:trHeight w:val="208"/>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1,098,539,733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income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132,849,548</w:t>
            </w:r>
          </w:p>
        </w:tc>
        <w:tc>
          <w:tcPr>
            <w:tcW w:w="100" w:type="dxa"/>
            <w:vAlign w:val="bottom"/>
          </w:tcPr>
          <w:p>
            <w:pPr>
              <w:spacing w:after="0"/>
              <w:rPr>
                <w:sz w:val="18"/>
                <w:szCs w:val="18"/>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costs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4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187,577,073</w:t>
            </w:r>
          </w:p>
        </w:tc>
        <w:tc>
          <w:tcPr>
            <w:tcW w:w="100" w:type="dxa"/>
            <w:vAlign w:val="bottom"/>
            <w:shd w:val="clear" w:color="auto" w:fill="CCEEFF"/>
          </w:tcPr>
          <w:p>
            <w:pPr>
              <w:spacing w:after="0"/>
              <w:rPr>
                <w:sz w:val="18"/>
                <w:szCs w:val="18"/>
                <w:color w:val="auto"/>
              </w:rPr>
            </w:pPr>
          </w:p>
        </w:tc>
      </w:tr>
      <w:tr>
        <w:trPr>
          <w:trHeight w:val="208"/>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1,043,812,208</w:t>
            </w:r>
          </w:p>
        </w:tc>
        <w:tc>
          <w:tcPr>
            <w:tcW w:w="100" w:type="dxa"/>
            <w:vAlign w:val="bottom"/>
          </w:tcPr>
          <w:p>
            <w:pPr>
              <w:spacing w:after="0"/>
              <w:rPr>
                <w:sz w:val="18"/>
                <w:szCs w:val="18"/>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148,133,704</w:t>
            </w:r>
          </w:p>
        </w:tc>
        <w:tc>
          <w:tcPr>
            <w:tcW w:w="100" w:type="dxa"/>
            <w:vAlign w:val="bottom"/>
            <w:shd w:val="clear" w:color="auto" w:fill="CCEEFF"/>
          </w:tcPr>
          <w:p>
            <w:pPr>
              <w:spacing w:after="0"/>
              <w:rPr>
                <w:sz w:val="18"/>
                <w:szCs w:val="18"/>
                <w:color w:val="auto"/>
              </w:rPr>
            </w:pPr>
          </w:p>
        </w:tc>
      </w:tr>
      <w:tr>
        <w:trPr>
          <w:trHeight w:val="208"/>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895,678,504</w:t>
            </w:r>
          </w:p>
        </w:tc>
        <w:tc>
          <w:tcPr>
            <w:tcW w:w="100" w:type="dxa"/>
            <w:vAlign w:val="bottom"/>
            <w:tcBorders>
              <w:bottom w:val="single" w:sz="8" w:color="CCEEFF"/>
            </w:tcBorders>
          </w:tcPr>
          <w:p>
            <w:pPr>
              <w:spacing w:after="0"/>
              <w:rPr>
                <w:sz w:val="18"/>
                <w:szCs w:val="18"/>
                <w:color w:val="auto"/>
              </w:rPr>
            </w:pPr>
          </w:p>
        </w:tc>
      </w:tr>
      <w:tr>
        <w:trPr>
          <w:trHeight w:val="208"/>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Items that will not be reclassified to income or loss:</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Remeasurement of defined benefit liabilities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17,30</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(344,105,471)</w:t>
            </w:r>
          </w:p>
        </w:tc>
      </w:tr>
      <w:tr>
        <w:trPr>
          <w:trHeight w:val="248"/>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551,573,033</w:t>
            </w:r>
          </w:p>
        </w:tc>
        <w:tc>
          <w:tcPr>
            <w:tcW w:w="100" w:type="dxa"/>
            <w:vAlign w:val="bottom"/>
            <w:tcBorders>
              <w:bottom w:val="single" w:sz="8" w:color="CCEEFF"/>
            </w:tcBorders>
          </w:tcPr>
          <w:p>
            <w:pPr>
              <w:spacing w:after="0"/>
              <w:rPr>
                <w:sz w:val="21"/>
                <w:szCs w:val="21"/>
                <w:color w:val="auto"/>
              </w:rPr>
            </w:pPr>
          </w:p>
        </w:tc>
      </w:tr>
      <w:tr>
        <w:trPr>
          <w:trHeight w:val="195"/>
        </w:trPr>
        <w:tc>
          <w:tcPr>
            <w:tcW w:w="84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 of the Parent Company</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794,130,344</w:t>
            </w:r>
          </w:p>
        </w:tc>
        <w:tc>
          <w:tcPr>
            <w:tcW w:w="100" w:type="dxa"/>
            <w:vAlign w:val="bottom"/>
          </w:tcPr>
          <w:p>
            <w:pPr>
              <w:spacing w:after="0"/>
              <w:rPr>
                <w:sz w:val="18"/>
                <w:szCs w:val="18"/>
                <w:color w:val="auto"/>
              </w:rPr>
            </w:pPr>
          </w:p>
        </w:tc>
      </w:tr>
      <w:tr>
        <w:trPr>
          <w:trHeight w:val="215"/>
        </w:trPr>
        <w:tc>
          <w:tcPr>
            <w:tcW w:w="8400" w:type="dxa"/>
            <w:vAlign w:val="bottom"/>
            <w:shd w:val="clear" w:color="auto" w:fill="CCEEFF"/>
          </w:tcPr>
          <w:p>
            <w:pPr>
              <w:ind w:left="16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101,548,160</w:t>
            </w:r>
          </w:p>
        </w:tc>
        <w:tc>
          <w:tcPr>
            <w:tcW w:w="100" w:type="dxa"/>
            <w:vAlign w:val="bottom"/>
            <w:shd w:val="clear" w:color="auto" w:fill="CCEEFF"/>
          </w:tcPr>
          <w:p>
            <w:pPr>
              <w:spacing w:after="0"/>
              <w:rPr>
                <w:sz w:val="18"/>
                <w:szCs w:val="18"/>
                <w:color w:val="auto"/>
              </w:rPr>
            </w:pPr>
          </w:p>
        </w:tc>
      </w:tr>
      <w:tr>
        <w:trPr>
          <w:trHeight w:val="215"/>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Owners of the Parent Company</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463,538,939</w:t>
            </w:r>
          </w:p>
        </w:tc>
        <w:tc>
          <w:tcPr>
            <w:tcW w:w="100" w:type="dxa"/>
            <w:vAlign w:val="bottom"/>
            <w:shd w:val="clear" w:color="auto" w:fill="CCEEFF"/>
          </w:tcPr>
          <w:p>
            <w:pPr>
              <w:spacing w:after="0"/>
              <w:rPr>
                <w:sz w:val="18"/>
                <w:szCs w:val="18"/>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88,034,094</w:t>
            </w:r>
          </w:p>
        </w:tc>
      </w:tr>
      <w:tr>
        <w:trPr>
          <w:trHeight w:val="215"/>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15"/>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2025</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Remeasurement of defined benefit liabilities</w:t>
      </w:r>
    </w:p>
    <w:p>
      <w:pPr>
        <w:ind w:left="160"/>
        <w:spacing w:after="0"/>
        <w:rPr>
          <w:sz w:val="20"/>
          <w:szCs w:val="20"/>
          <w:color w:val="auto"/>
        </w:rPr>
      </w:pPr>
      <w:r>
        <w:rPr>
          <w:rFonts w:ascii="Times New Roman" w:cs="Times New Roman" w:eastAsia="Times New Roman" w:hAnsi="Times New Roman"/>
          <w:sz w:val="14"/>
          <w:szCs w:val="14"/>
          <w:color w:val="auto"/>
        </w:rPr>
        <w:t>Profit for the year</w:t>
      </w:r>
    </w:p>
    <w:p>
      <w:pPr>
        <w:ind w:left="160"/>
        <w:spacing w:after="0" w:line="220" w:lineRule="auto"/>
        <w:rPr>
          <w:sz w:val="20"/>
          <w:szCs w:val="20"/>
          <w:color w:val="auto"/>
        </w:rPr>
      </w:pPr>
      <w:r>
        <w:rPr>
          <w:rFonts w:ascii="Times New Roman" w:cs="Times New Roman" w:eastAsia="Times New Roman" w:hAnsi="Times New Roman"/>
          <w:sz w:val="14"/>
          <w:szCs w:val="14"/>
          <w:color w:val="auto"/>
        </w:rPr>
        <w:t>Stock option granted</w:t>
      </w:r>
    </w:p>
    <w:p>
      <w:pPr>
        <w:ind w:left="160"/>
        <w:spacing w:after="0" w:line="220" w:lineRule="auto"/>
        <w:rPr>
          <w:sz w:val="20"/>
          <w:szCs w:val="20"/>
          <w:color w:val="auto"/>
        </w:rPr>
      </w:pPr>
      <w:r>
        <w:rPr>
          <w:rFonts w:ascii="Times New Roman" w:cs="Times New Roman" w:eastAsia="Times New Roman" w:hAnsi="Times New Roman"/>
          <w:sz w:val="14"/>
          <w:szCs w:val="14"/>
          <w:color w:val="auto"/>
        </w:rPr>
        <w:t>Stock option cancelled</w:t>
      </w: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222"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Attributable to owners of the Parent Company</w:t>
            </w: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2"/>
            <w:vMerge w:val="continue"/>
          </w:tcPr>
          <w:p>
            <w:pPr>
              <w:spacing w:after="0"/>
              <w:rPr>
                <w:sz w:val="12"/>
                <w:szCs w:val="12"/>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80" w:type="dxa"/>
            <w:vAlign w:val="bottom"/>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20" w:type="dxa"/>
            <w:vAlign w:val="bottom"/>
            <w:gridSpan w:val="2"/>
            <w:vMerge w:val="continue"/>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116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6,939,760,500</w:t>
            </w:r>
          </w:p>
        </w:tc>
        <w:tc>
          <w:tcPr>
            <w:tcW w:w="122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10,462,865,404</w:t>
            </w:r>
          </w:p>
        </w:tc>
        <w:tc>
          <w:tcPr>
            <w:tcW w:w="1120" w:type="dxa"/>
            <w:vAlign w:val="bottom"/>
            <w:tcBorders>
              <w:top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(400,825)</w:t>
            </w:r>
          </w:p>
        </w:tc>
        <w:tc>
          <w:tcPr>
            <w:tcW w:w="1180" w:type="dxa"/>
            <w:vAlign w:val="bottom"/>
            <w:tcBorders>
              <w:top w:val="single" w:sz="8" w:color="auto"/>
            </w:tcBorders>
            <w:gridSpan w:val="2"/>
          </w:tcPr>
          <w:p>
            <w:pPr>
              <w:jc w:val="right"/>
              <w:ind w:right="139"/>
              <w:spacing w:after="0" w:line="119" w:lineRule="exact"/>
              <w:rPr>
                <w:sz w:val="20"/>
                <w:szCs w:val="20"/>
                <w:color w:val="auto"/>
              </w:rPr>
            </w:pPr>
            <w:r>
              <w:rPr>
                <w:rFonts w:ascii="Times New Roman" w:cs="Times New Roman" w:eastAsia="Times New Roman" w:hAnsi="Times New Roman"/>
                <w:sz w:val="13"/>
                <w:szCs w:val="13"/>
                <w:b w:val="1"/>
                <w:bCs w:val="1"/>
                <w:color w:val="auto"/>
              </w:rPr>
              <w:t>(in Korean won)</w:t>
            </w:r>
          </w:p>
        </w:tc>
        <w:tc>
          <w:tcPr>
            <w:tcW w:w="122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12,592,349,248</w:t>
            </w:r>
          </w:p>
        </w:tc>
        <w:tc>
          <w:tcPr>
            <w:tcW w:w="110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390,024,548</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12,982,373,796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60" w:type="dxa"/>
            <w:vAlign w:val="bottom"/>
            <w:vMerge w:val="restart"/>
          </w:tcPr>
          <w:p>
            <w:pPr>
              <w:spacing w:after="0"/>
              <w:rPr>
                <w:sz w:val="20"/>
                <w:szCs w:val="20"/>
                <w:color w:val="auto"/>
              </w:rPr>
            </w:pPr>
            <w:r>
              <w:rPr>
                <w:rFonts w:ascii="Arial" w:cs="Arial" w:eastAsia="Arial" w:hAnsi="Arial"/>
                <w:sz w:val="14"/>
                <w:szCs w:val="14"/>
                <w:color w:val="auto"/>
              </w:rPr>
              <w:t>₩</w:t>
            </w:r>
          </w:p>
        </w:tc>
        <w:tc>
          <w:tcPr>
            <w:tcW w:w="11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(4,809,875,831)</w:t>
            </w:r>
          </w:p>
        </w:tc>
        <w:tc>
          <w:tcPr>
            <w:tcW w:w="12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0" w:type="dxa"/>
            <w:vAlign w:val="bottom"/>
            <w:vMerge w:val="continue"/>
          </w:tcPr>
          <w:p>
            <w:pPr>
              <w:spacing w:after="0"/>
              <w:rPr>
                <w:sz w:val="12"/>
                <w:szCs w:val="12"/>
                <w:color w:val="auto"/>
              </w:rPr>
            </w:pPr>
          </w:p>
        </w:tc>
        <w:tc>
          <w:tcPr>
            <w:tcW w:w="11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19"/>
              <w:spacing w:after="0" w:line="148" w:lineRule="exact"/>
              <w:rPr>
                <w:sz w:val="20"/>
                <w:szCs w:val="20"/>
                <w:color w:val="auto"/>
              </w:rPr>
            </w:pPr>
            <w:r>
              <w:rPr>
                <w:rFonts w:ascii="Times New Roman" w:cs="Times New Roman" w:eastAsia="Times New Roman" w:hAnsi="Times New Roman"/>
                <w:sz w:val="14"/>
                <w:szCs w:val="14"/>
                <w:color w:val="auto"/>
              </w:rPr>
              <w:t>(330,591,405)</w:t>
            </w:r>
          </w:p>
        </w:tc>
        <w:tc>
          <w:tcPr>
            <w:tcW w:w="122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(330,591,405)</w:t>
            </w:r>
          </w:p>
        </w:tc>
        <w:tc>
          <w:tcPr>
            <w:tcW w:w="110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(13,514,066)</w:t>
            </w:r>
          </w:p>
        </w:tc>
        <w:tc>
          <w:tcPr>
            <w:tcW w:w="10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(344,105,471)</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1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794,130,344</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794,130,344</w:t>
            </w:r>
          </w:p>
        </w:tc>
        <w:tc>
          <w:tcPr>
            <w:tcW w:w="200" w:type="dxa"/>
            <w:vAlign w:val="bottom"/>
          </w:tcPr>
          <w:p>
            <w:pPr>
              <w:spacing w:after="0"/>
              <w:rPr>
                <w:sz w:val="12"/>
                <w:szCs w:val="12"/>
                <w:color w:val="auto"/>
              </w:rPr>
            </w:pPr>
          </w:p>
        </w:tc>
        <w:tc>
          <w:tcPr>
            <w:tcW w:w="11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101,548,160</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895,678,504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1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2,394,958</w:t>
            </w:r>
          </w:p>
        </w:tc>
        <w:tc>
          <w:tcPr>
            <w:tcW w:w="11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59"/>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2,394,958</w:t>
            </w:r>
          </w:p>
        </w:tc>
        <w:tc>
          <w:tcPr>
            <w:tcW w:w="200" w:type="dxa"/>
            <w:vAlign w:val="bottom"/>
          </w:tcPr>
          <w:p>
            <w:pPr>
              <w:spacing w:after="0"/>
              <w:rPr>
                <w:sz w:val="12"/>
                <w:szCs w:val="12"/>
                <w:color w:val="auto"/>
              </w:rPr>
            </w:pPr>
          </w:p>
        </w:tc>
        <w:tc>
          <w:tcPr>
            <w:tcW w:w="110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2,394,958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0" w:type="dxa"/>
            <w:vAlign w:val="bottom"/>
            <w:vMerge w:val="restart"/>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(28,739,496)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(28,739,496)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(28,739,496)</w:t>
            </w:r>
          </w:p>
        </w:tc>
        <w:tc>
          <w:tcPr>
            <w:tcW w:w="0" w:type="dxa"/>
            <w:vAlign w:val="bottom"/>
          </w:tcPr>
          <w:p>
            <w:pPr>
              <w:spacing w:after="0"/>
              <w:rPr>
                <w:sz w:val="1"/>
                <w:szCs w:val="1"/>
                <w:color w:val="auto"/>
              </w:rPr>
            </w:pPr>
          </w:p>
        </w:tc>
      </w:tr>
      <w:tr>
        <w:trPr>
          <w:trHeight w:val="154"/>
        </w:trPr>
        <w:tc>
          <w:tcPr>
            <w:tcW w:w="260" w:type="dxa"/>
            <w:vAlign w:val="bottom"/>
            <w:vMerge w:val="continue"/>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6,939,760,500</w:t>
            </w:r>
          </w:p>
        </w:tc>
        <w:tc>
          <w:tcPr>
            <w:tcW w:w="2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10,436,520,866</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(400,825)</w:t>
            </w:r>
          </w:p>
        </w:tc>
        <w:tc>
          <w:tcPr>
            <w:tcW w:w="2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(4,346,336,892</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13,029,543,649</w:t>
            </w:r>
          </w:p>
        </w:tc>
        <w:tc>
          <w:tcPr>
            <w:tcW w:w="2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478,058,642</w:t>
            </w:r>
          </w:p>
        </w:tc>
        <w:tc>
          <w:tcPr>
            <w:tcW w:w="2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13,507,602,291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-621665</wp:posOffset>
            </wp:positionV>
            <wp:extent cx="7132955"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-417195</wp:posOffset>
            </wp:positionV>
            <wp:extent cx="7132955" cy="93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93980"/>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-229235</wp:posOffset>
            </wp:positionV>
            <wp:extent cx="7132955"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9398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720" w:space="140"/>
            <w:col w:w="8320"/>
          </w:cols>
          <w:pgMar w:left="320" w:top="761" w:right="399" w:bottom="1440" w:gutter="0" w:footer="0" w:header="0"/>
        </w:sect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7"/>
        </w:trPr>
        <w:tc>
          <w:tcPr>
            <w:tcW w:w="8620" w:type="dxa"/>
            <w:vAlign w:val="bottom"/>
          </w:tcPr>
          <w:p>
            <w:pPr>
              <w:jc w:val="center"/>
              <w:ind w:left="2551"/>
              <w:spacing w:after="0"/>
              <w:rPr>
                <w:sz w:val="20"/>
                <w:szCs w:val="20"/>
                <w:color w:val="auto"/>
              </w:rPr>
            </w:pPr>
            <w:r>
              <w:rPr>
                <w:rFonts w:ascii="Times New Roman" w:cs="Times New Roman" w:eastAsia="Times New Roman" w:hAnsi="Times New Roman"/>
                <w:sz w:val="18"/>
                <w:szCs w:val="18"/>
                <w:b w:val="1"/>
                <w:bCs w:val="1"/>
                <w:color w:val="auto"/>
                <w:w w:val="99"/>
              </w:rPr>
              <w:t>Hansol Inticube Co. Ltd.</w:t>
            </w: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8620" w:type="dxa"/>
            <w:vAlign w:val="bottom"/>
          </w:tcPr>
          <w:p>
            <w:pPr>
              <w:jc w:val="center"/>
              <w:ind w:left="2551"/>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CASH FLOWS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8620" w:type="dxa"/>
            <w:vAlign w:val="bottom"/>
          </w:tcPr>
          <w:p>
            <w:pPr>
              <w:jc w:val="center"/>
              <w:ind w:left="2531"/>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2025</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8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r>
      <w:tr>
        <w:trPr>
          <w:trHeight w:val="208"/>
        </w:trPr>
        <w:tc>
          <w:tcPr>
            <w:tcW w:w="8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 Korean won)</w:t>
            </w:r>
          </w:p>
        </w:tc>
        <w:tc>
          <w:tcPr>
            <w:tcW w:w="100" w:type="dxa"/>
            <w:vAlign w:val="bottom"/>
          </w:tcPr>
          <w:p>
            <w:pPr>
              <w:spacing w:after="0"/>
              <w:rPr>
                <w:sz w:val="18"/>
                <w:szCs w:val="18"/>
                <w:color w:val="auto"/>
              </w:rPr>
            </w:pPr>
          </w:p>
        </w:tc>
      </w:tr>
      <w:tr>
        <w:trPr>
          <w:trHeight w:val="215"/>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for the year</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895,678,504</w:t>
            </w:r>
          </w:p>
        </w:tc>
        <w:tc>
          <w:tcPr>
            <w:tcW w:w="100" w:type="dxa"/>
            <w:vAlign w:val="bottom"/>
          </w:tcPr>
          <w:p>
            <w:pPr>
              <w:spacing w:after="0"/>
              <w:rPr>
                <w:sz w:val="18"/>
                <w:szCs w:val="18"/>
                <w:color w:val="auto"/>
              </w:rPr>
            </w:pPr>
          </w:p>
        </w:tc>
      </w:tr>
      <w:tr>
        <w:trPr>
          <w:trHeight w:val="215"/>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3,155,306,521</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Severance Benefits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1,282,641,573</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1,315,020,883</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1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246,413,748</w:t>
            </w:r>
          </w:p>
        </w:tc>
        <w:tc>
          <w:tcPr>
            <w:tcW w:w="100" w:type="dxa"/>
            <w:vAlign w:val="bottom"/>
          </w:tcPr>
          <w:p>
            <w:pPr>
              <w:spacing w:after="0"/>
              <w:rPr>
                <w:sz w:val="18"/>
                <w:szCs w:val="18"/>
                <w:color w:val="auto"/>
              </w:rPr>
            </w:pP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Reversal of Inventory valuation gains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(1,499,309)</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expenses</w:t>
            </w:r>
          </w:p>
        </w:tc>
        <w:tc>
          <w:tcPr>
            <w:tcW w:w="1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187,577,073</w:t>
            </w:r>
          </w:p>
        </w:tc>
        <w:tc>
          <w:tcPr>
            <w:tcW w:w="100" w:type="dxa"/>
            <w:vAlign w:val="bottom"/>
          </w:tcPr>
          <w:p>
            <w:pPr>
              <w:spacing w:after="0"/>
              <w:rPr>
                <w:sz w:val="18"/>
                <w:szCs w:val="18"/>
                <w:color w:val="auto"/>
              </w:rPr>
            </w:pP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Reversal of mileage provision</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(46,153,570)</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Losses on foreign currency translation</w:t>
            </w:r>
          </w:p>
        </w:tc>
        <w:tc>
          <w:tcPr>
            <w:tcW w:w="1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2,912,628</w:t>
            </w:r>
          </w:p>
        </w:tc>
        <w:tc>
          <w:tcPr>
            <w:tcW w:w="100" w:type="dxa"/>
            <w:vAlign w:val="bottom"/>
          </w:tcPr>
          <w:p>
            <w:pPr>
              <w:spacing w:after="0"/>
              <w:rPr>
                <w:sz w:val="18"/>
                <w:szCs w:val="18"/>
                <w:color w:val="auto"/>
              </w:rPr>
            </w:pP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Losses on disposal of property and equipment</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7,357,574</w:t>
            </w:r>
          </w:p>
        </w:tc>
        <w:tc>
          <w:tcPr>
            <w:tcW w:w="100" w:type="dxa"/>
            <w:vAlign w:val="bottom"/>
            <w:shd w:val="clear" w:color="auto" w:fill="CCEEFF"/>
          </w:tcPr>
          <w:p>
            <w:pPr>
              <w:spacing w:after="0"/>
              <w:rPr>
                <w:sz w:val="18"/>
                <w:szCs w:val="18"/>
                <w:color w:val="auto"/>
              </w:rPr>
            </w:pP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43,071,589</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warranty obligations</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183,250,784</w:t>
            </w:r>
          </w:p>
        </w:tc>
        <w:tc>
          <w:tcPr>
            <w:tcW w:w="100" w:type="dxa"/>
            <w:vAlign w:val="bottom"/>
            <w:shd w:val="clear" w:color="auto" w:fill="CCEEFF"/>
          </w:tcPr>
          <w:p>
            <w:pPr>
              <w:spacing w:after="0"/>
              <w:rPr>
                <w:sz w:val="18"/>
                <w:szCs w:val="18"/>
                <w:color w:val="auto"/>
              </w:rPr>
            </w:pP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w:t>
            </w:r>
          </w:p>
        </w:tc>
        <w:tc>
          <w:tcPr>
            <w:tcW w:w="1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148,133,704</w:t>
            </w:r>
          </w:p>
        </w:tc>
        <w:tc>
          <w:tcPr>
            <w:tcW w:w="100" w:type="dxa"/>
            <w:vAlign w:val="bottom"/>
          </w:tcPr>
          <w:p>
            <w:pPr>
              <w:spacing w:after="0"/>
              <w:rPr>
                <w:sz w:val="18"/>
                <w:szCs w:val="18"/>
                <w:color w:val="auto"/>
              </w:rPr>
            </w:pP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(113,054,229)</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Gains on foreign currency translation</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(5,467,918)</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Reversal of loss provision on service contracts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(21,693,760)</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Gains on disposal of property, plant and equipment</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(27,064,392)</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Gains on valuation of financial assets at fair value through profit or loss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(19,795,319)</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Reversal of share-based payments expenses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(26,344,538)</w:t>
            </w:r>
          </w:p>
        </w:tc>
      </w:tr>
      <w:tr>
        <w:trPr>
          <w:trHeight w:val="215"/>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 from operating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(1,795,689,397)</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receivables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(2,446,600,729)</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receivables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(1,759,672)</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Contract assets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2,438,206,617</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 net</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719,990,699</w:t>
            </w:r>
          </w:p>
        </w:tc>
        <w:tc>
          <w:tcPr>
            <w:tcW w:w="100" w:type="dxa"/>
            <w:vAlign w:val="bottom"/>
            <w:shd w:val="clear" w:color="auto" w:fill="CCEEFF"/>
          </w:tcPr>
          <w:p>
            <w:pPr>
              <w:spacing w:after="0"/>
              <w:rPr>
                <w:sz w:val="18"/>
                <w:szCs w:val="18"/>
                <w:color w:val="auto"/>
              </w:rPr>
            </w:pP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(641,035,118)</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 payables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1,801,153,623</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payables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22,304,842</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Contract liabilities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(2,091,279,532)</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361,081,649</w:t>
            </w:r>
          </w:p>
        </w:tc>
        <w:tc>
          <w:tcPr>
            <w:tcW w:w="100" w:type="dxa"/>
            <w:vAlign w:val="bottom"/>
          </w:tcPr>
          <w:p>
            <w:pPr>
              <w:spacing w:after="0"/>
              <w:rPr>
                <w:sz w:val="18"/>
                <w:szCs w:val="18"/>
                <w:color w:val="auto"/>
              </w:rPr>
            </w:pP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(1,927,751,776)</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long-term employee benefits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(30,000,000)</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received</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43,473,972</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paid (other than lease)</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(30,880,345)</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paid (lease)</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(52,376,533)</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refund (paid)</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10,485,670</w:t>
            </w:r>
          </w:p>
        </w:tc>
      </w:tr>
      <w:tr>
        <w:trPr>
          <w:trHeight w:val="208"/>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inflow from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2,225,998,392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flows provided by investing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132,411,910</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Short-term financial instruments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12,600,000</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49,450,310</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Collection of deposites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70,361,600</w:t>
            </w:r>
          </w:p>
        </w:tc>
      </w:tr>
      <w:tr>
        <w:trPr>
          <w:trHeight w:val="215"/>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(436,171,931)</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in Short-term financial instruments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(5,970,000)</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(280,684,528)</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(49,155,803)</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deposites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(20,361,600)</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 of financial assets at fair value through profit or loss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(80,000,000)</w:t>
            </w:r>
          </w:p>
        </w:tc>
      </w:tr>
      <w:tr>
        <w:trPr>
          <w:trHeight w:val="208"/>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outflow from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(303,760,021)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10,572,600,441</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in Short-term borrowings</w:t>
            </w:r>
          </w:p>
        </w:tc>
        <w:tc>
          <w:tcPr>
            <w:tcW w:w="1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10,572,600,441</w:t>
            </w:r>
          </w:p>
        </w:tc>
      </w:tr>
      <w:tr>
        <w:trPr>
          <w:trHeight w:val="215"/>
        </w:trPr>
        <w:tc>
          <w:tcPr>
            <w:tcW w:w="8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(12,493,017,757)</w:t>
            </w:r>
          </w:p>
        </w:tc>
      </w:tr>
      <w:tr>
        <w:trPr>
          <w:trHeight w:val="215"/>
        </w:trPr>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Short-term borrowings</w:t>
            </w:r>
          </w:p>
        </w:tc>
        <w:tc>
          <w:tcPr>
            <w:tcW w:w="1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(11,650,896,200)</w:t>
            </w:r>
          </w:p>
        </w:tc>
      </w:tr>
      <w:tr>
        <w:trPr>
          <w:trHeight w:val="215"/>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(842,121,557)</w:t>
            </w:r>
          </w:p>
        </w:tc>
      </w:tr>
      <w:tr>
        <w:trPr>
          <w:trHeight w:val="208"/>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outflow from financing activities</w:t>
            </w:r>
          </w:p>
        </w:tc>
        <w:tc>
          <w:tcPr>
            <w:tcW w:w="122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(1,920,417,316)</w:t>
            </w:r>
          </w:p>
        </w:tc>
        <w:tc>
          <w:tcPr>
            <w:tcW w:w="100" w:type="dxa"/>
            <w:vAlign w:val="bottom"/>
            <w:tcBorders>
              <w:bottom w:val="single" w:sz="8" w:color="CCEEFF"/>
            </w:tcBorders>
          </w:tcPr>
          <w:p>
            <w:pPr>
              <w:spacing w:after="0"/>
              <w:rPr>
                <w:sz w:val="18"/>
                <w:szCs w:val="18"/>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2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1,821,055</w:t>
            </w:r>
          </w:p>
        </w:tc>
        <w:tc>
          <w:tcPr>
            <w:tcW w:w="100" w:type="dxa"/>
            <w:vAlign w:val="bottom"/>
            <w:shd w:val="clear" w:color="auto" w:fill="CCEEFF"/>
          </w:tcPr>
          <w:p>
            <w:pPr>
              <w:spacing w:after="0"/>
              <w:rPr>
                <w:sz w:val="18"/>
                <w:szCs w:val="18"/>
                <w:color w:val="auto"/>
              </w:rPr>
            </w:pPr>
          </w:p>
        </w:tc>
      </w:tr>
      <w:tr>
        <w:trPr>
          <w:trHeight w:val="208"/>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12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2,293,537,863</w:t>
            </w:r>
          </w:p>
        </w:tc>
        <w:tc>
          <w:tcPr>
            <w:tcW w:w="100" w:type="dxa"/>
            <w:vAlign w:val="bottom"/>
            <w:tcBorders>
              <w:bottom w:val="single" w:sz="8" w:color="CCEEFF"/>
            </w:tcBorders>
          </w:tcPr>
          <w:p>
            <w:pPr>
              <w:spacing w:after="0"/>
              <w:rPr>
                <w:sz w:val="18"/>
                <w:szCs w:val="18"/>
                <w:color w:val="auto"/>
              </w:rPr>
            </w:pPr>
          </w:p>
        </w:tc>
      </w:tr>
      <w:tr>
        <w:trPr>
          <w:trHeight w:val="208"/>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2,295,358,918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Corporate Information</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Company overview</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Hansol Inticube Co., Ltd. (the “Parent Company”) was incorporated on December 15, 2003, as a result of the spin-off of the business divisions of Locus Co., Ltd., the enterprise communications and wireless internet businesses. In accordance with applicable laws and regulations, the Parent Company applied for re-registration of its shares with the Korea Securities Dealers Association on December 24, 2003, and trading of its shares on the KOSDAQ market resumed on January 8, 2004. On June 27, 2008, the Parent Company changed its corporate name from Inticube Co., Ltd. to Hansol Inticube Co., Ltd.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Company’s paid-in capital is Korean Won 6,939,761 thousand and major shareholders and their respective percentage of ownership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40" w:type="dxa"/>
            <w:vAlign w:val="bottom"/>
          </w:tcPr>
          <w:p>
            <w:pPr>
              <w:spacing w:after="0"/>
              <w:rPr>
                <w:sz w:val="18"/>
                <w:szCs w:val="18"/>
                <w:color w:val="auto"/>
              </w:rPr>
            </w:pPr>
          </w:p>
        </w:tc>
        <w:tc>
          <w:tcPr>
            <w:tcW w:w="26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4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8640" w:type="dxa"/>
            <w:vAlign w:val="bottom"/>
          </w:tcPr>
          <w:p>
            <w:pPr>
              <w:spacing w:after="0"/>
              <w:rPr>
                <w:sz w:val="16"/>
                <w:szCs w:val="16"/>
                <w:color w:val="auto"/>
              </w:rPr>
            </w:pPr>
          </w:p>
        </w:tc>
        <w:tc>
          <w:tcPr>
            <w:tcW w:w="1420" w:type="dxa"/>
            <w:vAlign w:val="bottom"/>
            <w:gridSpan w:val="3"/>
          </w:tcPr>
          <w:p>
            <w:pPr>
              <w:ind w:left="140"/>
              <w:spacing w:after="0" w:line="18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20" w:type="dxa"/>
            <w:vAlign w:val="bottom"/>
          </w:tcPr>
          <w:p>
            <w:pPr>
              <w:jc w:val="center"/>
              <w:ind w:right="11"/>
              <w:spacing w:after="0" w:line="186" w:lineRule="exact"/>
              <w:rPr>
                <w:sz w:val="20"/>
                <w:szCs w:val="20"/>
                <w:color w:val="auto"/>
              </w:rPr>
            </w:pPr>
            <w:r>
              <w:rPr>
                <w:rFonts w:ascii="Times New Roman" w:cs="Times New Roman" w:eastAsia="Times New Roman" w:hAnsi="Times New Roman"/>
                <w:sz w:val="18"/>
                <w:szCs w:val="18"/>
                <w:b w:val="1"/>
                <w:bCs w:val="1"/>
                <w:color w:val="auto"/>
                <w:w w:val="98"/>
              </w:rPr>
              <w:t>Ownership</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Hansol Holdings Co., Ltd.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4,719,037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5"/>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Cho Hyun Seung</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356,526</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5"/>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Mi Sung</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788,525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5"/>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Ownership Association</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64,456</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5"/>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217,045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5"/>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7,733,932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0"/>
        </w:trPr>
        <w:tc>
          <w:tcPr>
            <w:tcW w:w="8640" w:type="dxa"/>
            <w:vAlign w:val="bottom"/>
            <w:vMerge w:val="restart"/>
            <w:shd w:val="clear" w:color="auto" w:fill="CCEEFF"/>
          </w:tcPr>
          <w:p>
            <w:pPr>
              <w:ind w:left="41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4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13,879,521</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10, 2026, the Group was acquired by the Playverse Co., Ltd. (“Playverse”). The purpose of these financial statements is to meet the reporting requirements of Rule 3-05 of Regulation S-X of the Securities and Exchange Commission (SEC). As a result, these financial statements do not include comparative figures, which constitutes a departure from International Financial Reporting Standards as issued by the International Accounting Standards Board (“IFRS”).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Consolidated subsidiaries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consolidated subsidiaries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76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Main business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w:t>
            </w:r>
          </w:p>
        </w:tc>
        <w:tc>
          <w:tcPr>
            <w:tcW w:w="0" w:type="dxa"/>
            <w:vAlign w:val="bottom"/>
          </w:tcPr>
          <w:p>
            <w:pPr>
              <w:spacing w:after="0"/>
              <w:rPr>
                <w:sz w:val="1"/>
                <w:szCs w:val="1"/>
                <w:color w:val="auto"/>
              </w:rPr>
            </w:pPr>
          </w:p>
        </w:tc>
      </w:tr>
      <w:tr>
        <w:trPr>
          <w:trHeight w:val="190"/>
        </w:trPr>
        <w:tc>
          <w:tcPr>
            <w:tcW w:w="204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STICKUS</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Seoul</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40" w:type="dxa"/>
            <w:vAlign w:val="bottom"/>
            <w:tcBorders>
              <w:top w:val="single" w:sz="8" w:color="auto"/>
            </w:tcBorders>
            <w:gridSpan w:val="5"/>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Manufacture of pet food and pet</w:t>
            </w: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2019</w:t>
            </w:r>
          </w:p>
        </w:tc>
        <w:tc>
          <w:tcPr>
            <w:tcW w:w="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gridSpan w:val="2"/>
            <w:shd w:val="clear" w:color="auto" w:fill="CCEEFF"/>
          </w:tcPr>
          <w:p>
            <w:pPr>
              <w:jc w:val="center"/>
              <w:ind w:right="331"/>
              <w:spacing w:after="0" w:line="190" w:lineRule="exact"/>
              <w:rPr>
                <w:sz w:val="20"/>
                <w:szCs w:val="20"/>
                <w:color w:val="auto"/>
              </w:rPr>
            </w:pPr>
            <w:r>
              <w:rPr>
                <w:rFonts w:ascii="Times New Roman" w:cs="Times New Roman" w:eastAsia="Times New Roman" w:hAnsi="Times New Roman"/>
                <w:sz w:val="18"/>
                <w:szCs w:val="18"/>
                <w:color w:val="auto"/>
                <w:w w:val="99"/>
              </w:rPr>
              <w:t>December</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CORPORATION</w:t>
            </w: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shd w:val="clear" w:color="auto" w:fill="CCEEFF"/>
          </w:tcPr>
          <w:p>
            <w:pPr>
              <w:spacing w:after="0"/>
              <w:rPr>
                <w:sz w:val="20"/>
                <w:szCs w:val="20"/>
                <w:color w:val="auto"/>
              </w:rPr>
            </w:pPr>
          </w:p>
        </w:tc>
        <w:tc>
          <w:tcPr>
            <w:tcW w:w="2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services</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Condensed financial information of the subsidiaries as of and for the year ended December 31, 2025 is as follows: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40" w:type="dxa"/>
            <w:vAlign w:val="bottom"/>
            <w:gridSpan w:val="1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(In thousands of Korean Won)</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0"/>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1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profit</w:t>
            </w:r>
          </w:p>
        </w:tc>
        <w:tc>
          <w:tcPr>
            <w:tcW w:w="0" w:type="dxa"/>
            <w:vAlign w:val="bottom"/>
          </w:tcPr>
          <w:p>
            <w:pPr>
              <w:spacing w:after="0"/>
              <w:rPr>
                <w:sz w:val="1"/>
                <w:szCs w:val="1"/>
                <w:color w:val="auto"/>
              </w:rPr>
            </w:pPr>
          </w:p>
        </w:tc>
      </w:tr>
      <w:tr>
        <w:trPr>
          <w:trHeight w:val="23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20"/>
                <w:szCs w:val="20"/>
                <w:color w:val="auto"/>
              </w:rPr>
            </w:pPr>
          </w:p>
        </w:tc>
        <w:tc>
          <w:tcPr>
            <w:tcW w:w="13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00" w:type="dxa"/>
            <w:vAlign w:val="bottom"/>
          </w:tcPr>
          <w:p>
            <w:pPr>
              <w:spacing w:after="0"/>
              <w:rPr>
                <w:sz w:val="20"/>
                <w:szCs w:val="20"/>
                <w:color w:val="auto"/>
              </w:rPr>
            </w:pPr>
          </w:p>
        </w:tc>
        <w:tc>
          <w:tcPr>
            <w:tcW w:w="11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w:t>
            </w:r>
          </w:p>
        </w:tc>
        <w:tc>
          <w:tcPr>
            <w:tcW w:w="14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w:t>
            </w:r>
          </w:p>
        </w:tc>
        <w:tc>
          <w:tcPr>
            <w:tcW w:w="0" w:type="dxa"/>
            <w:vAlign w:val="bottom"/>
          </w:tcPr>
          <w:p>
            <w:pPr>
              <w:spacing w:after="0"/>
              <w:rPr>
                <w:sz w:val="1"/>
                <w:szCs w:val="1"/>
                <w:color w:val="auto"/>
              </w:rPr>
            </w:pPr>
          </w:p>
        </w:tc>
      </w:tr>
      <w:tr>
        <w:trPr>
          <w:trHeight w:val="208"/>
        </w:trPr>
        <w:tc>
          <w:tcPr>
            <w:tcW w:w="2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STICKUS CORPORATION</w:t>
            </w: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2,083,672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1,005,232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4,567,430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256,856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57"/>
        </w:trPr>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percentage of ownership held by the non-controlling interests in the subsidiaries as of December 31, 2025 and the subsidiaries’ results of operations attributable to the non-controlling interests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STICKUS</w:t>
            </w:r>
          </w:p>
        </w:tc>
      </w:tr>
      <w:tr>
        <w:trPr>
          <w:trHeight w:val="237"/>
        </w:trPr>
        <w:tc>
          <w:tcPr>
            <w:tcW w:w="7220" w:type="dxa"/>
            <w:vAlign w:val="bottom"/>
          </w:tcPr>
          <w:p>
            <w:pPr>
              <w:spacing w:after="0"/>
              <w:rPr>
                <w:sz w:val="20"/>
                <w:szCs w:val="20"/>
                <w:color w:val="auto"/>
              </w:rPr>
            </w:pPr>
          </w:p>
        </w:tc>
        <w:tc>
          <w:tcPr>
            <w:tcW w:w="4020" w:type="dxa"/>
            <w:vAlign w:val="bottom"/>
            <w:gridSpan w:val="3"/>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7"/>
              </w:rPr>
              <w:t>CORPORATION</w:t>
            </w:r>
          </w:p>
        </w:tc>
      </w:tr>
      <w:tr>
        <w:trPr>
          <w:trHeight w:val="186"/>
        </w:trPr>
        <w:tc>
          <w:tcPr>
            <w:tcW w:w="7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(In thousands of</w:t>
            </w:r>
          </w:p>
        </w:tc>
        <w:tc>
          <w:tcPr>
            <w:tcW w:w="160" w:type="dxa"/>
            <w:vAlign w:val="bottom"/>
          </w:tcPr>
          <w:p>
            <w:pPr>
              <w:spacing w:after="0"/>
              <w:rPr>
                <w:sz w:val="16"/>
                <w:szCs w:val="16"/>
                <w:color w:val="auto"/>
              </w:rPr>
            </w:pPr>
          </w:p>
        </w:tc>
      </w:tr>
      <w:tr>
        <w:trPr>
          <w:trHeight w:val="237"/>
        </w:trPr>
        <w:tc>
          <w:tcPr>
            <w:tcW w:w="7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Korean Won)</w:t>
            </w: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Ownership percentage of non-controlling interests</w:t>
            </w:r>
          </w:p>
        </w:tc>
        <w:tc>
          <w:tcPr>
            <w:tcW w:w="4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39.92%</w:t>
            </w: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of non-controlling interests</w:t>
            </w:r>
          </w:p>
        </w:tc>
        <w:tc>
          <w:tcPr>
            <w:tcW w:w="4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390,025</w:t>
            </w: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 and losses attributable to non-controlling interests</w:t>
            </w:r>
          </w:p>
        </w:tc>
        <w:tc>
          <w:tcPr>
            <w:tcW w:w="4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(13,514)</w:t>
            </w: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Profit attributable to non-controlling interests</w:t>
            </w:r>
          </w:p>
        </w:tc>
        <w:tc>
          <w:tcPr>
            <w:tcW w:w="4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101548</w:t>
            </w: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of non-controlling interests</w:t>
            </w:r>
          </w:p>
        </w:tc>
        <w:tc>
          <w:tcPr>
            <w:tcW w:w="4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478,059</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Accounting</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followings are material accounting policies applied on the consolidated financial statements. Unless mentioned otherwise, these policies are consistent throughout the accounting periods denoted.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New and amended standards or interpretations adopted by the Group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applied the following standards and amendments for the first time for their annual reporting period commencing January 1,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IAS 21 The Effects of Changes in Foreign Exchange Rates – Lack of Exchangeability</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amendments that require exchangeability of two currencies should be assessed in order to clarify reporting of foreign currency transactions in the absence of normal-functioning foreign exchange market. The amendments also require applicable spot exchange rate should be determined when the assessment indicates two currencies lack exchangeability. The amendments are effective for annual reporting periods beginning on or after January 1, 2025, with early application permitted. The amendments do not have a significant impact on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17 Insurance Contracts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the estimation techniques applied to the input variables used in the measurement of insurance contracts differ from the estimation methodologies principally required under applicable insurance laws and regulations, the Group discloses the nature of such differences and their effects on the financial statements to the extent that such information is considered relevant and material to users of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new and amended standards or interpretations not yet adopted by the Group</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new accounting standards and interpretations that have been published are not mandatory for December 31, 2025 reporting periods and have not been early adopted by the Group.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9 Financial Instruments - IFRS 7 Financial Instruments: Disclosures – Classification and Measurement of Financial Instruments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amendments clarify that a financial liability is derecognized on the ‘settlement date’ and introduce an accounting policy choice to derecognise financial liabilities settled using an electronic payment system before the settlement date. Other clarifications include the classification of financial assets with ESG linked features via additional guidance on the assessment of contingent features. Clarifications have been made to non-recourse loans and contractually linked instruments. Additional disclosures are introduced for financial instruments with contingent features and equity instruments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classified at fair value through OCI. The amendments should be applied for annual periods beginning on or after January 1, 2026, and earlier application is permitted, with an option to early adopt the amendments for contingent features only. The Group does not expect that these amendments have a significant impact on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Improvements to IFRS Accounting Standards – Volume 11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amendments are annual improvements to the following standards:</w:t>
      </w:r>
    </w:p>
    <w:p>
      <w:pPr>
        <w:spacing w:after="0" w:line="222" w:lineRule="exact"/>
        <w:rPr>
          <w:sz w:val="20"/>
          <w:szCs w:val="20"/>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 First-time adoption of International Financial Reporting Standards;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7 Financial instruments: Disclosures;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9 Financial instruments;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10 Consolidated financial statements;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7 Statement of cash flows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new standard should be applied for annual periods beginning on or after January 1, 2026, and earlier application is permitted. The Group is in review for the impact of this new standard on the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18 Presentation and Disclosure in Financial Statements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Items in the statement of profit or loss will need to be classified into one of five categories: operating, investing, financing, income taxes and discontinued operations. IFRS 18 requires the Group to present specified totals and subtotals: ‘Operating profit or loss’, ‘Profit or loss’ and ‘Profit or loss before financing and income taxes’. Information related to management-defined performance measures should be disclosed. IFRS 18 also provides enhanced guidance on the principles of aggregation and disaggregation which focus on grouping items based on their shared characteristics. The new standard should be applied for annual periods beginning on or after January 1, 2027, and earlier application is permitted. The Group is in review for the impact of this new standard on the financial statements.</w:t>
      </w:r>
    </w:p>
    <w:p>
      <w:pPr>
        <w:spacing w:after="0" w:line="182"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 xml:space="preserve">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replaces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The new presentation requirements introduced by IFRS 18 are expected to enhance comparability of financial performance among peer entities, particularly with respect to the definition and presentation of operating profit or loss. In addition, the disclosure requirements related to management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defined performance measures are expected to improve transparency. The standard is effective for annual periods beginning on or after January 1, 2027, with early adoption permitted. In accordance with the retrospective application requirements of the standard, comparative information for the year ended December 31, 2026 will be restated to conform IFRS 18.</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 has not yet adopted IFRS 18 and is currently assessing the potential impact of the application of the standard on its consolidated financial statements. The Group is developing an implementation plan and is preparing, as scheduled, to present its first interim financial statements under IFRS 18 for the period ending March 31, 2027, and its first annual financial statements under the standard for the year ending December 31, 2027.</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Accounting policies</w:t>
      </w:r>
    </w:p>
    <w:p>
      <w:pPr>
        <w:spacing w:after="0" w:line="226" w:lineRule="exact"/>
        <w:rPr>
          <w:sz w:val="20"/>
          <w:szCs w:val="20"/>
          <w:color w:val="auto"/>
        </w:rPr>
      </w:pPr>
    </w:p>
    <w:p>
      <w:pPr>
        <w:ind w:left="780" w:hanging="451"/>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consolidation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prepares its consolidated financial statements in accordance with IFRS 10, Consolidated Financial Statements.</w:t>
      </w:r>
    </w:p>
    <w:p>
      <w:pPr>
        <w:spacing w:after="0" w:line="222" w:lineRule="exact"/>
        <w:rPr>
          <w:sz w:val="20"/>
          <w:szCs w:val="20"/>
          <w:color w:val="auto"/>
        </w:rPr>
      </w:pPr>
    </w:p>
    <w:p>
      <w:pPr>
        <w:ind w:left="780" w:hanging="451"/>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Subsidiaries are all entities over which the Parent Company has control. The Group controls the corresponding investee when it is exposed, or has rights, to variable returns from its involvement with the investee and has the ability to affect those returns through its power over the investee. Consolidation of a subsidiary begins from the date the Group obtains control of a subsidiary and ceases when the Group loses control of the subsidiary.</w:t>
      </w:r>
    </w:p>
    <w:p>
      <w:pPr>
        <w:spacing w:after="0" w:line="176" w:lineRule="exact"/>
        <w:rPr>
          <w:sz w:val="20"/>
          <w:szCs w:val="20"/>
          <w:color w:val="auto"/>
        </w:rPr>
      </w:pPr>
    </w:p>
    <w:p>
      <w:pPr>
        <w:ind w:left="780" w:hanging="451"/>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 are measured initially at their proportionate share of the acquiree’s identifiable net assets at the date of acquisition.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Group’s interest in a subsidiary that do not result in a loss of control are accounted for as equity transactions.</w:t>
      </w:r>
    </w:p>
    <w:p>
      <w:pPr>
        <w:spacing w:after="0" w:line="222" w:lineRule="exact"/>
        <w:rPr>
          <w:sz w:val="20"/>
          <w:szCs w:val="20"/>
          <w:color w:val="auto"/>
        </w:rPr>
      </w:pPr>
    </w:p>
    <w:p>
      <w:pPr>
        <w:ind w:left="780" w:hanging="451"/>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control</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When the Group loses control over a subsidiary, it derecognizes the assets and liabilities of the subsidiary, and any related non-controlling interests and other components of equity. Any resulting gain or loss is recognized in profit or loss. Any interest retained in the former subsidiary is measured at fair value when control is lost.</w:t>
      </w:r>
    </w:p>
    <w:p>
      <w:pPr>
        <w:spacing w:after="0" w:line="176" w:lineRule="exact"/>
        <w:rPr>
          <w:sz w:val="20"/>
          <w:szCs w:val="20"/>
          <w:color w:val="auto"/>
        </w:rPr>
      </w:pPr>
    </w:p>
    <w:p>
      <w:pPr>
        <w:ind w:left="780" w:hanging="451"/>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eliminated on consolidation</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Intra-group balances and transactions, and any unrealized income and expenses (except for foreign currency transaction gains or losses) arising from intra-group transactions, are eliminated. Unrealized gains arising from transactions with equity-accounted investees are eliminated against the investment to the extent of the Group’s interest in the investee. Unrealized losses are eliminated in the same way as unrealized gains, but only to the extent that there is no evidence of impairment.</w:t>
      </w:r>
    </w:p>
    <w:p>
      <w:pPr>
        <w:spacing w:after="0" w:line="180" w:lineRule="exact"/>
        <w:rPr>
          <w:sz w:val="20"/>
          <w:szCs w:val="20"/>
          <w:color w:val="auto"/>
        </w:rPr>
      </w:pPr>
    </w:p>
    <w:p>
      <w:pPr>
        <w:ind w:left="780" w:hanging="451"/>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2" w:lineRule="exact"/>
        <w:rPr>
          <w:sz w:val="20"/>
          <w:szCs w:val="20"/>
          <w:color w:val="auto"/>
        </w:rPr>
      </w:pPr>
    </w:p>
    <w:p>
      <w:pPr>
        <w:ind w:left="780" w:hanging="451"/>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recognizes the revenue at the point in time when the significant risks and rewards of ownership of goods are transferred to the customer.</w:t>
      </w:r>
    </w:p>
    <w:p>
      <w:pPr>
        <w:spacing w:after="0" w:line="222" w:lineRule="exact"/>
        <w:rPr>
          <w:sz w:val="20"/>
          <w:szCs w:val="20"/>
          <w:color w:val="auto"/>
        </w:rPr>
      </w:pPr>
    </w:p>
    <w:p>
      <w:pPr>
        <w:ind w:left="780" w:hanging="451"/>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recognizes the service revenue over the time, typically over the period that the services are performed.</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left="780" w:hanging="451"/>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revenue</w:t>
      </w:r>
    </w:p>
    <w:p>
      <w:pPr>
        <w:spacing w:after="0" w:line="2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Group recognizes the construction revenue over time as the Group’s activities that involve development tailored to customer specifications result in the creation of, or an enhancement to, assets that the customer controls as the service is performed.</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Construction revenue is recognized over time using an input method based on costs incurred, that is, in proportion to the costs incurred to date relative to total estimated contract costs. Management believes that the use of the input method appropriately estimates the Group’s measure of progress in satisfying its performance obligations under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When the outcome of the construction revenue can be estimated reliably, the Group recognizes contract revenue and contract costs, respectively, as revenue and expenses by using the measure of progress at the end of the reporting period. The progress is measured as the ratio of cumulative contract costs incurred to date for work performed to estimated total contract costs, excluding contract costs that do not reflect the stage of completion.</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Contract modifications, claims, and incentive payments are included in construction revenue when the amounts can be measured reliably and it is probable that the related consideration will be collected.</w:t>
      </w:r>
    </w:p>
    <w:p>
      <w:pPr>
        <w:spacing w:after="0" w:line="163" w:lineRule="exact"/>
        <w:rPr>
          <w:sz w:val="20"/>
          <w:szCs w:val="20"/>
          <w:color w:val="auto"/>
        </w:rPr>
      </w:pPr>
    </w:p>
    <w:p>
      <w:pPr>
        <w:ind w:left="780" w:hanging="451"/>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These consolidated financial statements are presented in the currency of the primary economic environment in which the Group operates (the “functional currency”). The Group’s financial performance and financial position are presented in Korean won, which is the Parent Company’s functional and presentation currency.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Transactions in foreign currencies are translated into the respective functional currencies of Company companies at the exchange rates at the dates of the transactions. Monetary assets and liabilities denominated in foreign currencies are translated into the functional currency at the exchange rate at the reporting date. Non-monetary assets and liabilities that are measured at fair value in a foreign currency are translated into the functional currency at the exchange rate when the fair value was determined. Non- monetary items that are measured based on historical cost in a foreign currency are translated at the exchange rate at the date of the transaction.</w:t>
      </w:r>
    </w:p>
    <w:p>
      <w:pPr>
        <w:spacing w:after="0" w:line="184" w:lineRule="exact"/>
        <w:rPr>
          <w:sz w:val="20"/>
          <w:szCs w:val="20"/>
          <w:color w:val="auto"/>
        </w:rPr>
      </w:pPr>
    </w:p>
    <w:p>
      <w:pPr>
        <w:ind w:left="780" w:hanging="451"/>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for contributions to defined contribution plans are expensed as the related service is provided.</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defined benefit obligation is calculated annually by independent actuaries using the projected unit credit method. Remeasurements of the net defined benefit liability, which comprise actuarial gains and losses, the return on plan assets (excluding interest) and the effect of the asset ceiling (if any, excluding interest), are recognized immediately in other comprehensive income. Remeasurements of the net defined benefit liability recognized in the consolidated statement of comprehensive income are recognized immediately in retained earnings and are not subsequently reclassified to profit or loss subsequently. Past service costs are recognized as profit or loss for the year and the net interest expense (income) on the net defined benefit liability (asset) for the period is determined by applying the discount rate used to measure the defined benefit obligation at the beginning of the annual period to the then- net defined benefit liability (asset). The components of defined benefit cost consist of service cost (comprising current service cost, past service cost, and gains or losses from settlements), net interest expense (income), and remeasurements of the net defined benefit liability.</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Net interest expense and other expenses related to defined benefit plans are recognized in profit or loss. Remeasurement components are recognized in other comprehensive income. Gains or losses on curtailments of the plan are recognized as past service cost.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 presents the actual underfunded or overfunded status of the defined benefit plans in the consolidated financial statements. When the calculation results in a potential asset for the Group, the recognized asset is limited to the present value of economic benefits available in the form of any future refunds from the plan or reductions in future contributions to the plan.</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 liability for termination benefits is recognized at the earlier of the date when the Group can no longer withdraw the offer of termination benefits or the date when the Group recognizes costs related to a restructuring that involves the payment of termination benefits.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Discretionary contributions made by employees or third parties reduce service cost upon payment of these contributions to the plan. When the formal terms of a plan specify contributions from employees or third parties, the accounting for such contributions depends on whether the contributions are linked to the provision of service.</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If contributions are not linked to the service (for example, contributions paid to reduce a deficit resulting from losses on plan assets or actuarial losses), such contributions affect the remeasurement of the net defined benefit liability (asset).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If contributions are linked to the service, such contributions reduce service cost. For contributions whose amounts vary based on years of service, the Group allocates the contributions over the service period in accordance with the attribution method required by paragraph 70 of IAS 19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xml:space="preserve"> based on total remuneration. Conversely, for contributions whose amounts are independent of years of service, the Group recognizes such contributions as a reduction of service cost in the period in which the related service is rendered.</w:t>
      </w:r>
    </w:p>
    <w:p>
      <w:pPr>
        <w:spacing w:after="0" w:line="180" w:lineRule="exact"/>
        <w:rPr>
          <w:sz w:val="20"/>
          <w:szCs w:val="20"/>
          <w:color w:val="auto"/>
        </w:rPr>
      </w:pPr>
    </w:p>
    <w:p>
      <w:pPr>
        <w:ind w:left="780" w:hanging="451"/>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Equity-settled share-based payments granted to employees and employee-equivalent service providers are estimated at fair value of equity instruments at the grant date.</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grant-date fair value of equity-settled share-based payment arrangements granted to employees is generally recognized as an expense, with a corresponding increase in equity, over the vesting period of the awards. The number of equity instruments expected to vest is remeasured at the end of the reporting period, with any changes from the original remeasurement recognized in profit or loss for the year and equity.</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Equity-settled share-based payments granted to non-employee counterparties are measured at the fair value of the goods or services received. If the fair value of the goods or services received cannot be estimated reliably, the goods or services are measured based on the fair value of the equity instruments granted, determined at the date the goods or services are received.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cash-settled share-based payments, the liability for goods or services received is initially recognized at fair value. The liability is remeasured at each reporting date and at settlement date based on the fair value of the share-based payment arrangements. Any changes in the liability are recognized in profit or loss.</w:t>
      </w:r>
    </w:p>
    <w:p>
      <w:pPr>
        <w:spacing w:after="0" w:line="176" w:lineRule="exact"/>
        <w:rPr>
          <w:sz w:val="20"/>
          <w:szCs w:val="20"/>
          <w:color w:val="auto"/>
        </w:rPr>
      </w:pPr>
    </w:p>
    <w:p>
      <w:pPr>
        <w:ind w:left="780" w:hanging="451"/>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for the period consists of current and deferred tax.</w:t>
      </w:r>
    </w:p>
    <w:p>
      <w:pPr>
        <w:spacing w:after="0" w:line="222" w:lineRule="exact"/>
        <w:rPr>
          <w:sz w:val="20"/>
          <w:szCs w:val="20"/>
          <w:color w:val="auto"/>
        </w:rPr>
      </w:pPr>
    </w:p>
    <w:p>
      <w:pPr>
        <w:ind w:left="780" w:hanging="451"/>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income tax</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taxes are calculated based on the Group’s taxable income for the year. The taxable profit is different from the accounting profit for the period since the taxable profit is calculated excluding the temporary differences, which will be taxable or deductible in determining taxable profit (tax loss) of future periods, and non-taxable or non-deductible items from the accounting profit. The amount of current tax payable is measured using tax rates enacted or substantively enacted at the reporting date.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left="780" w:hanging="451"/>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between the carrying amounts of assets and liabilities for financial reporting purposes and the amounts used for taxation purposes. The Group recognizes that a deferred tax liability for all taxable temporary differences. Deferred tax assets are recognized only if it is probable that future taxable amounts will be available to utilize those temporary differences and losses. However, deferred tax is not recognized for:</w:t>
      </w:r>
    </w:p>
    <w:p>
      <w:pPr>
        <w:spacing w:after="0" w:line="180" w:lineRule="exact"/>
        <w:rPr>
          <w:sz w:val="20"/>
          <w:szCs w:val="20"/>
          <w:color w:val="auto"/>
        </w:rPr>
      </w:pPr>
    </w:p>
    <w:p>
      <w:pPr>
        <w:ind w:left="660" w:hanging="33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temporary differences arising on the initial recognition of goodwill;</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on the initial recognition of assets or liabilities in a transaction that is not a business combination and that affects neither accounting nor taxable profit or loss; and</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differences related to investments in subsidiary, associates and joint arrangements to the extent that the Group is able to control the timing of the reversal of the temporary differences and it is probable that they will not reverse in the foreseeable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are reviewed at each reporting date and are reduced to the extent that it is no longer probable that the related tax benefit will be realized</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Deferred income tax assets and liabilities are measured at the tax rates that are expected to apply to the period when the asset is realized or the liability is settled, based on tax laws that have been enacted or substantively enacted by the end of the reporting period. The measurement of deferred income tax liabilities and deferred income tax assets reflects the tax consequences that would follow from the manner in which the Group expects, at the end of the reporting period to recover or settle the carrying amount of its assets and liabilities.</w:t>
      </w:r>
    </w:p>
    <w:p>
      <w:pPr>
        <w:spacing w:after="0" w:line="180" w:lineRule="exact"/>
        <w:rPr>
          <w:sz w:val="20"/>
          <w:szCs w:val="20"/>
          <w:color w:val="auto"/>
        </w:rPr>
      </w:pPr>
    </w:p>
    <w:p>
      <w:pPr>
        <w:ind w:left="780" w:hanging="451"/>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current and deferred tax</w:t>
      </w:r>
    </w:p>
    <w:p>
      <w:pPr>
        <w:spacing w:after="0" w:line="2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It is recognized in profit or loss except to the extent that it relates to a business combination, or items recognized directly in equity or in other comprehensive income. Income tax effects arising from a business combination are included as part of the accounting for the business combination.</w:t>
      </w:r>
    </w:p>
    <w:p>
      <w:pPr>
        <w:spacing w:after="0" w:line="163" w:lineRule="exact"/>
        <w:rPr>
          <w:sz w:val="20"/>
          <w:szCs w:val="20"/>
          <w:color w:val="auto"/>
        </w:rPr>
      </w:pPr>
    </w:p>
    <w:p>
      <w:pPr>
        <w:ind w:left="780" w:hanging="451"/>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Items of property and equipment are measured at cost, which includes capitalized borrowing costs, less government grants, accumulated depreciation, and any accumulated impairment losses. Historical cost includes expenditure that is directly attributable to the acquisition of the items, including costs incurred to bring the asset to the location and condition necessary for it to be capable of operating in the manner intended by management, as well as the initial estimate of costs expected to be incurred to dismantle and remove the asset and to restore the site on which it is located.</w:t>
      </w:r>
    </w:p>
    <w:p>
      <w:pPr>
        <w:spacing w:after="0" w:line="18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Subsequent expenditure is capitalized only if it is probable that the future economic benefits associated with the expenditure will flow to the Group. The carrying amount of the replaced parts are derecognized and the repairs and maintenance expenses are recognized in profit or loss in the period they are incurred.</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Depreciation is calculated to write off the cost of items of property and equipment less their estimated residual values using the straight-line method over their estimated useful lives, and is generally recognized in profit or loss. Land is not depreciated.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useful lives of property and equipment for current and comparative periods are as follows:</w:t>
            </w: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8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 years</w:t>
            </w:r>
          </w:p>
        </w:tc>
      </w:tr>
      <w:tr>
        <w:trPr>
          <w:trHeight w:val="215"/>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 years</w:t>
            </w:r>
          </w:p>
        </w:tc>
      </w:tr>
      <w:tr>
        <w:trPr>
          <w:trHeight w:val="215"/>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5"/>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6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years</w:t>
            </w:r>
          </w:p>
        </w:tc>
      </w:tr>
      <w:tr>
        <w:trPr>
          <w:trHeight w:val="215"/>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3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6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 years</w:t>
            </w:r>
          </w:p>
        </w:tc>
      </w:tr>
    </w:tbl>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significant parts of an item of property, plant and equipment have different useful lives, then they are accounted for as separate items (major components) of property and equipment. Depreciation methods, useful lives and residual values are reviewed at each reporting date and adjusted if appropriate. The depreciation method, residual values and useful lives of property and equipment are reviewed and adjusted at each financial year-end, if appropriate, accounted for as changes in accounting estimates.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 item of property, plant and equipment is derecognized upon disposal or when no future economic benefits are expected from its use or disposal, and the carrying amount is removed from the consolidated statement of financial position. Any gain or loss arising from derecognition is determined as the difference between the net disposal proceeds and the carrying amount of the asset and is recognized in profit or loss at the time the asset is derecognized.</w:t>
      </w:r>
    </w:p>
    <w:p>
      <w:pPr>
        <w:spacing w:after="0" w:line="176" w:lineRule="exact"/>
        <w:rPr>
          <w:sz w:val="20"/>
          <w:szCs w:val="20"/>
          <w:color w:val="auto"/>
        </w:rPr>
      </w:pPr>
    </w:p>
    <w:p>
      <w:pPr>
        <w:ind w:left="780" w:hanging="451"/>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2" w:lineRule="exact"/>
        <w:rPr>
          <w:sz w:val="20"/>
          <w:szCs w:val="20"/>
          <w:color w:val="auto"/>
        </w:rPr>
      </w:pPr>
    </w:p>
    <w:p>
      <w:pPr>
        <w:ind w:left="780" w:hanging="451"/>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a lease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contract is, or contains, a lease if the contract conveys the right to control the use of an identified asset for a period of time in exchange for consideration.</w:t>
      </w:r>
    </w:p>
    <w:p>
      <w:pPr>
        <w:spacing w:after="0" w:line="222" w:lineRule="exact"/>
        <w:rPr>
          <w:sz w:val="20"/>
          <w:szCs w:val="20"/>
          <w:color w:val="auto"/>
        </w:rPr>
      </w:pPr>
    </w:p>
    <w:p>
      <w:pPr>
        <w:ind w:left="780" w:hanging="451"/>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lessee</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At commencement or on modification of a contract that contains a lease component, the Group allocates the consideration in the contract to each lease component on the basis of its relative stand-alone prices. However, for the leases of property the Group has elected not to separate non-lease components and account for the lease and non-lease components as a single lease component.</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right-of-use asset is subsequently depreciated using the straight-line method from the commencement date to the end of the lease term, unless the lease transfers ownership of the underlying asset to the Group by the end of the lease term or the cost of the right-of-use asset reflects that the Group will exercise a purchase option. In that case the right-of-use asset will be depreciated over the useful life of the underlying asset, which is determined on the same basis as those of property and equipment. In addition, the right-of-use asset is periodically reduced by impairment losses, if any, and adjusted for certain remeasurements of the lease liability.</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Group determines its incremental borrowing rate by obtaining interest rates from various external financing sources and makes certain adjustments to reflect the terms of the lease and type of the asset leased.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the following:</w:t>
      </w:r>
    </w:p>
    <w:p>
      <w:pPr>
        <w:spacing w:after="0" w:line="222" w:lineRule="exact"/>
        <w:rPr>
          <w:sz w:val="20"/>
          <w:szCs w:val="20"/>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a rate, initially measured using the index or rate as at the commencement date;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a residual value guarantee;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a purchase option that the Group is reasonably certain to exercise; and</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payments in an optional renewal period if the Group is reasonably certain to exercise an extension option, and penalties for early termination of a lease unless the Group is reasonably certain not to terminate early.</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if the Group changes its assessment of whether it will exercise a purchase, extension or termination option or if there is a revised in-substance fixed lease payment.</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 has elected not to recognize right-of-use assets and lease liabilities for leases of low-value assets (leases for which the underlying asset is valued at USD 5,000 or less) and short-term leases (leases that have a lease term of 12 months or less at the commencement date), including IT equipment. The Group recognizes the lease payments associated with these leases as an expense on a straight-line basis over the lease term.</w:t>
      </w:r>
    </w:p>
    <w:p>
      <w:pPr>
        <w:spacing w:after="0" w:line="176" w:lineRule="exact"/>
        <w:rPr>
          <w:sz w:val="20"/>
          <w:szCs w:val="20"/>
          <w:color w:val="auto"/>
        </w:rPr>
      </w:pPr>
    </w:p>
    <w:p>
      <w:pPr>
        <w:ind w:left="780" w:hanging="451"/>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lessor</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When the Group acts as a lessor, it determines at lease inception whether each lease is a finance lease or an operating lease. To classify each lease, the Group makes an overall assessment of whether the lease transfers substantially all of the risks and rewards incidental to ownership of the underlying asset. If this is the case, then the lease is a finance lease; if not, then it is an operating lease.</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When the Group is an intermediate lessor, it accounts for its interests in the head lease and the sub-lease separately. It assesses the lease classification of a sub-lease with reference to the right-of-use asset arising from the head lease, not with reference to the underlying asset. If a head lease is a short-term lease to which the Group applies the exemption described above, then it classifies the sub-lease as an operating lease.</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 recognizes lease payments received under operating leases as income on a straight-line basis over the lease term as part of ‘other income’. The Group applies another systematic basis if that basis is more representative of the pattern in which benefit from the use of the underlying asset is diminished.</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 capitalizes initial direct costs incurred in negotiating and arranging operating leases as part of the carrying amount of the underlying asset and recognizes such costs as an expense over the lease term on the same basis as lease income.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arrangement contains lease and non-lease components, then the Group applies IFRS 15 to allocate the consideration in the contract.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left="780" w:hanging="451"/>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goodwill</w:t>
      </w:r>
    </w:p>
    <w:p>
      <w:pPr>
        <w:spacing w:after="0" w:line="222" w:lineRule="exact"/>
        <w:rPr>
          <w:sz w:val="20"/>
          <w:szCs w:val="20"/>
          <w:color w:val="auto"/>
        </w:rPr>
      </w:pPr>
    </w:p>
    <w:p>
      <w:pPr>
        <w:ind w:left="780" w:hanging="451"/>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acquired intangible assets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Separately acquired intangible assets with finite useful lives are recorded at cost less accumulated amortization and accumulated impairment losses. Such intangible assets are amortized on a straight-line basis over their estimated useful lives. The estimated useful lives and amortization methods of intangible assets are reviewed at the end of each reporting period, and any changes deemed appropriate are accounted for as changes in accounting estimates.</w:t>
      </w:r>
    </w:p>
    <w:p>
      <w:pPr>
        <w:spacing w:after="0" w:line="176" w:lineRule="exact"/>
        <w:rPr>
          <w:sz w:val="20"/>
          <w:szCs w:val="20"/>
          <w:color w:val="auto"/>
        </w:rPr>
      </w:pPr>
    </w:p>
    <w:p>
      <w:pPr>
        <w:ind w:right="5380" w:firstLine="329"/>
        <w:spacing w:after="0" w:line="497" w:lineRule="auto"/>
        <w:tabs>
          <w:tab w:leader="none" w:pos="7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generated intangible assets – Research and development cost Expenditures on research activities are expensed as incurred.</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Expenditures related to development activities (or the development phase of internal projects) are recognized as intangible assets only when the results of the development plan are intended to result in the development of a new product or a substantial improvement in functionality, and when the Group can demonstrate the technical and commercial feasibility of completing the development, as well as the ability to reliably measure the expenditures attributable to the development.</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cost of internally generated intangible assets comprises the aggregate of expenditures incurred from the date when the intangible asset first meets the recognition criteria described above. Development costs that do not meet the criteria for recognition as internally generated intangible assets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to initial recognition, internally generated intangible assets are carried at cost less accumulated amortization and accumulated impairment losses.</w:t>
      </w:r>
    </w:p>
    <w:p>
      <w:pPr>
        <w:spacing w:after="0" w:line="234" w:lineRule="exact"/>
        <w:rPr>
          <w:sz w:val="20"/>
          <w:szCs w:val="20"/>
          <w:color w:val="auto"/>
        </w:rPr>
      </w:pPr>
    </w:p>
    <w:p>
      <w:pPr>
        <w:ind w:left="780" w:hanging="451"/>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 intangible asset is derecognized upon disposal or when no future economic benefits are expected from its use or disposal. The gain or loss arising from the derecognition of an intangible asset is determined as the difference between the net disposal proceeds and the carrying amount of the asset, and is recognized in profit or loss in the period in which the intangible asset is derecognized.</w:t>
      </w:r>
    </w:p>
    <w:p>
      <w:pPr>
        <w:spacing w:after="0" w:line="176" w:lineRule="exact"/>
        <w:rPr>
          <w:sz w:val="20"/>
          <w:szCs w:val="20"/>
          <w:color w:val="auto"/>
        </w:rPr>
      </w:pPr>
    </w:p>
    <w:p>
      <w:pPr>
        <w:ind w:left="780" w:hanging="451"/>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life</w:t>
      </w:r>
    </w:p>
    <w:p>
      <w:pPr>
        <w:spacing w:after="0" w:line="2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Amortization is calculated using the straight-line method to allocate the cost or revalued amounts of the assets, net of their residual values, over their estimated useful lives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 years</w:t>
            </w:r>
          </w:p>
        </w:tc>
      </w:tr>
      <w:tr>
        <w:trPr>
          <w:trHeight w:val="23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 years</w:t>
            </w:r>
          </w:p>
        </w:tc>
      </w:tr>
      <w:tr>
        <w:trPr>
          <w:trHeight w:val="411"/>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methods, useful lives and residual values are reviewed at each reporting date and adjusted if appropriate.</w:t>
            </w:r>
          </w:p>
        </w:tc>
        <w:tc>
          <w:tcPr>
            <w:tcW w:w="2060" w:type="dxa"/>
            <w:vAlign w:val="bottom"/>
          </w:tcPr>
          <w:p>
            <w:pPr>
              <w:spacing w:after="0"/>
              <w:rPr>
                <w:sz w:val="24"/>
                <w:szCs w:val="24"/>
                <w:color w:val="auto"/>
              </w:rPr>
            </w:pPr>
          </w:p>
        </w:tc>
      </w:tr>
      <w:tr>
        <w:trPr>
          <w:trHeight w:val="429"/>
        </w:trPr>
        <w:tc>
          <w:tcPr>
            <w:tcW w:w="9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  Impairment of non-financial assets other than goodwill</w:t>
            </w:r>
          </w:p>
        </w:tc>
        <w:tc>
          <w:tcPr>
            <w:tcW w:w="206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each reporting date, the Group reviews the carrying amounts of its non-financial assets other than goodwill to determine whether there is any indication of impairment. If any such indication exists, then the asset’s recoverable amount is estimated. The Group estimates the recoverable amount of each individual asset. When it is not possible to estimate the recoverable amount of an individual asset, the Group estimates the recoverable amount of the cash-generating unit (“CGU”) to which the asset belongs. Corporate assets are allocated to individual CGUs on a reasonable and consistent basis. When corporate assets cannot be allocated to individual CGUs, they are allocated to the smallest group of CGUs to which a reasonable and consistent allocation can be made.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Intangible assets with indefinite useful lives and intangible assets not yet available for use are tested for impairment annually, irrespective of whether there is any indication of impairment.</w:t>
      </w:r>
    </w:p>
    <w:p>
      <w:pPr>
        <w:spacing w:after="0" w:line="16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 recoverable amount of an asset or CGU is the greater of its value in use and its fair value less costs of disposal. When the recoverable amount of an asset (or CGU) is less than its carrying amount, the carrying amount of the asset (or CGU) is reduced to its recoverable amount. The impairment loss is recognized in profit or loss for the period.</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An impairment loss is reversed only to the extent that the asset’s carrying amount does not exceed the carrying amount that would have been determined, net of depreciation or amortization, if no impairment loss had been recognized.</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When a previously recognized impairment loss is reversed, the carrying amount of the individual asset (or CGU) is increased to the revised recoverable amount or to the carrying amount that would have been determined (net of amortization) had no impairment loss been recognized in prior periods, whichever is lower. The reversal of the impairment loss is recognized immediately in profit or loss for the period.</w:t>
      </w:r>
    </w:p>
    <w:p>
      <w:pPr>
        <w:spacing w:after="0" w:line="176" w:lineRule="exact"/>
        <w:rPr>
          <w:sz w:val="20"/>
          <w:szCs w:val="20"/>
          <w:color w:val="auto"/>
        </w:rPr>
      </w:pPr>
    </w:p>
    <w:p>
      <w:pPr>
        <w:ind w:left="320"/>
        <w:spacing w:after="0"/>
        <w:tabs>
          <w:tab w:leader="none" w:pos="7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Inventories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Inventories are measured at the lower of cost and net realizable value. The cost of inventories is based on the first-in, first-out allocation method, and includes expenditures incurred in acquiring the inventories, production or conversion cost and other costs incurred in bringing them to their existing location and condition. Net realizable value is the estimated selling price in the ordinary course of business less the estimated costs of completion and the estimated selling expenses.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sales is recognized at the carrying amount of inventories in the period in which the related revenue from the sale of such inventories is recognized. Inventory write-downs to net realizable value and inventory obsolescence losses are recognized as expenses in the period in which they are incurred. Reversals of inventory write-downs resulting from an increase in net realizable value are recognized as a reduction of cost of sales in the period in which the reversal occurs.</w:t>
      </w:r>
    </w:p>
    <w:p>
      <w:pPr>
        <w:spacing w:after="0" w:line="180" w:lineRule="exact"/>
        <w:rPr>
          <w:sz w:val="20"/>
          <w:szCs w:val="20"/>
          <w:color w:val="auto"/>
        </w:rPr>
      </w:pPr>
    </w:p>
    <w:p>
      <w:pPr>
        <w:ind w:left="320"/>
        <w:spacing w:after="0"/>
        <w:tabs>
          <w:tab w:leader="none" w:pos="7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Provisions</w:t>
      </w:r>
    </w:p>
    <w:p>
      <w:pPr>
        <w:spacing w:after="0" w:line="2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Provisions are recognized when the Group has a present legal or constructive obligation as a result of past events, it is probable that an outflow of resources will be required to settle the obligation and the amount can be reliably estimated.</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Provisions are measured at the present value of management’s best estimate of the expenditure required to settle the present obligation at the end of the reporting period. Provisions are determined by discounting the expected future cash flows at a pre-tax rate that reflects current market assessments of the time value of money and the risks specific to the liability. The unwinding of the discount is recognized as finance cost.</w:t>
      </w:r>
    </w:p>
    <w:p>
      <w:pPr>
        <w:spacing w:after="0" w:line="17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color w:val="auto"/>
        </w:rPr>
        <w:t>If it is expected that some or all of the expenditure required to settle a provision will be reimbursed by a third party, the Group recognizes the reimbursement as an asset when it is virtually certain that reimbursement will be received upon settlement of the obligation and the amount can be measured reliably.</w:t>
      </w:r>
    </w:p>
    <w:p>
      <w:pPr>
        <w:spacing w:after="0" w:line="1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Provisions are reviewed at the end of each reporting period and adjusted to reflect the current best estimates. If it is no longer probable that an outflow of resources embodying economic benefits will be required to settle the obligation, the provision is reversed.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left="320"/>
        <w:spacing w:after="0"/>
        <w:tabs>
          <w:tab w:leader="none" w:pos="7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Financial assets</w:t>
      </w:r>
    </w:p>
    <w:p>
      <w:pPr>
        <w:spacing w:after="0" w:line="222" w:lineRule="exact"/>
        <w:rPr>
          <w:sz w:val="20"/>
          <w:szCs w:val="20"/>
          <w:color w:val="auto"/>
        </w:rPr>
      </w:pPr>
    </w:p>
    <w:p>
      <w:pPr>
        <w:ind w:left="780" w:hanging="451"/>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classifies its financial assets in the following measurement categories:</w:t>
      </w:r>
    </w:p>
    <w:p>
      <w:pPr>
        <w:spacing w:after="0" w:line="222" w:lineRule="exact"/>
        <w:rPr>
          <w:sz w:val="20"/>
          <w:szCs w:val="20"/>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fair value through profit or loss;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fair value through other comprehensive income;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amortized cost.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depends on the Group’s business model for managing financial assets and the contractual terms of the cash flows.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financial assets measured at fair value, gains and losses will either be recorded in profit or loss or other comprehensive income. For investments in debt instruments, this will depend on the business model in which the investment is held. The Group reclassifies debt investments when, and only when its business model for managing those assets changes.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investments in equity instruments that are not held for trading, this will depend on whether the Group has made an irrevocable election at the time of initial recognition to account for the equity investment at fair value through other comprehensive income. Changes in fair value of the investments in equity instruments that are not accounted for as other comprehensive income are recognized in profit or loss.</w:t>
      </w:r>
    </w:p>
    <w:p>
      <w:pPr>
        <w:spacing w:after="0" w:line="176" w:lineRule="exact"/>
        <w:rPr>
          <w:sz w:val="20"/>
          <w:szCs w:val="20"/>
          <w:color w:val="auto"/>
        </w:rPr>
      </w:pPr>
    </w:p>
    <w:p>
      <w:pPr>
        <w:ind w:left="780" w:hanging="451"/>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Financial assets with embedded derivatives are considered in their entirety when determining whether their cash flows are solely payment of principal and interest.</w:t>
      </w:r>
    </w:p>
    <w:p>
      <w:pPr>
        <w:spacing w:after="0" w:line="163" w:lineRule="exact"/>
        <w:rPr>
          <w:sz w:val="20"/>
          <w:szCs w:val="20"/>
          <w:color w:val="auto"/>
        </w:rPr>
      </w:pPr>
    </w:p>
    <w:p>
      <w:pPr>
        <w:ind w:left="780" w:hanging="451"/>
        <w:spacing w:after="0"/>
        <w:tabs>
          <w:tab w:leader="none" w:pos="780" w:val="left"/>
        </w:tabs>
        <w:numPr>
          <w:ilvl w:val="0"/>
          <w:numId w:val="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Debt instruments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measurement of debt instruments depends on the Group’s business model for managing the asset and the cash flow characteristics of the asset.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classifies its debt instruments into one of the following three measurement categories:</w:t>
      </w:r>
    </w:p>
    <w:p>
      <w:pPr>
        <w:spacing w:after="0" w:line="204" w:lineRule="exact"/>
        <w:rPr>
          <w:sz w:val="20"/>
          <w:szCs w:val="20"/>
          <w:color w:val="auto"/>
        </w:rPr>
      </w:pPr>
    </w:p>
    <w:p>
      <w:pPr>
        <w:ind w:left="660" w:hanging="331"/>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Assets that are held for collection of contractual cash flows where those cash flows represent solely payments of principal and interest are measured at amortized cost. A gain or loss on a debt investment that is subsequently measured at amortized cost and is not part of a hedging relationship is recognized in profit or loss when the asset is derecognized or impaired. Interest income from these financial assets is included in ‘finance income’ using the effective interest rate method.</w:t>
      </w:r>
    </w:p>
    <w:p>
      <w:pPr>
        <w:spacing w:after="0" w:line="180" w:lineRule="exact"/>
        <w:rPr>
          <w:sz w:val="20"/>
          <w:szCs w:val="20"/>
          <w:color w:val="auto"/>
        </w:rPr>
      </w:pPr>
    </w:p>
    <w:p>
      <w:pPr>
        <w:ind w:left="660" w:hanging="331"/>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other comprehensive income:</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Assets that are held for collection of contractual cash flows and for selling the financial assets, where the assets’ cash flows represent solely payments of principal and interest, are measured at fair value through other comprehensive income. Movements in the carrying amount are taken through other comprehensive income, except for the recognition of</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impairment loss (reversal of impairment loss), interest income and foreign exchange gains and losses which are recognized in profit or loss. When the financial asset is derecognized, the cumulative gain or loss previously recognized in other comprehensive income is reclassified from equity to profit or loss. Interest income from these financial assets is included in ‘finance income’ using the effective interest rate method. Foreign exchange gains and losses are presented in ‘other non-operating income or expenses’, and impairment losses are presented in ‘other non-operating expenses’.</w:t>
      </w:r>
    </w:p>
    <w:p>
      <w:pPr>
        <w:spacing w:after="0" w:line="180" w:lineRule="exact"/>
        <w:rPr>
          <w:sz w:val="20"/>
          <w:szCs w:val="20"/>
          <w:color w:val="auto"/>
        </w:rPr>
      </w:pPr>
    </w:p>
    <w:p>
      <w:pPr>
        <w:ind w:left="660" w:hanging="331"/>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profit or loss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Assets that do not meet the criteria for amortized cost or fair value through other comprehensive income are measured at fair value through profit or loss. A gain or loss on a debt investment that is subsequently measured at fair value through profit or loss and is not part of a hedging relationship is recognized in profit or loss and presented net in the consolidated statement of comprehensive income within ‘finance income and costs’ in the year in which it arises.</w:t>
      </w:r>
    </w:p>
    <w:p>
      <w:pPr>
        <w:spacing w:after="0" w:line="176" w:lineRule="exact"/>
        <w:rPr>
          <w:sz w:val="20"/>
          <w:szCs w:val="20"/>
          <w:color w:val="auto"/>
        </w:rPr>
      </w:pPr>
    </w:p>
    <w:p>
      <w:pPr>
        <w:ind w:left="780" w:hanging="451"/>
        <w:spacing w:after="0"/>
        <w:tabs>
          <w:tab w:leader="none" w:pos="780"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Equity instruments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Group subsequently measures all equity investments at fair value. Where the Group’s management has elected to present fair value gains and losses on equity investments, which held for long-term investment or strategic purpose, in other comprehensive income, there is no subsequent reclassification of fair value gains and losses to profit or loss following the derecognition of the investment. Dividend income from such investments continue to be recognized in profit or loss as ‘finance income’ when the right to receive payments is established.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Changes in the fair value of financial assets at fair value through profit or loss are recognized in ‘finance income and costs’ in the consolidated statement of comprehensive income as applicable. Impairment loss (reversal of impairment loss) on equity investments measured at fair value through other comprehensive income are not reported separately from other changes in fair value.</w:t>
      </w:r>
    </w:p>
    <w:p>
      <w:pPr>
        <w:spacing w:after="0" w:line="176" w:lineRule="exact"/>
        <w:rPr>
          <w:sz w:val="20"/>
          <w:szCs w:val="20"/>
          <w:color w:val="auto"/>
        </w:rPr>
      </w:pPr>
    </w:p>
    <w:p>
      <w:pPr>
        <w:ind w:left="780" w:hanging="451"/>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losses associated with its debt instruments carried at amortized cost and fair value through other comprehensive income. The impairment methodology applied depends on whether there has been a significant increase in credit risk. For trade receivables and lease receivables, the Group applies the simplified approach, which requires expected lifetime losses to be recognized from initial recognition of the receivables</w:t>
      </w:r>
    </w:p>
    <w:p>
      <w:pPr>
        <w:spacing w:after="0" w:line="180" w:lineRule="exact"/>
        <w:rPr>
          <w:sz w:val="20"/>
          <w:szCs w:val="20"/>
          <w:color w:val="auto"/>
        </w:rPr>
      </w:pPr>
    </w:p>
    <w:p>
      <w:pPr>
        <w:ind w:left="780" w:hanging="451"/>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derecognition</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Regular way purchases and sales of financial assets are recognized or derecognized on trade-date, the date on which the Group commits to purchase or sell the asset. Financial assets are derecognized when the rights to receive cash flows from the financial assets have expired or have been transferred and the Group has transferred substantially all the risks and rewards of ownership.</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a transfer does not result in derecognition because the Group has retained substantially all the risks and rewards of ownership of the transferred asset, the Group continues to recognize the transferred asset in its entirety and recognizes a financial liability for the consideration received. The Group classifies the financial liability as ‘borrowings’ in the consolidated statement of financial position.</w:t>
      </w:r>
    </w:p>
    <w:p>
      <w:pPr>
        <w:spacing w:after="0" w:line="176" w:lineRule="exact"/>
        <w:rPr>
          <w:sz w:val="20"/>
          <w:szCs w:val="20"/>
          <w:color w:val="auto"/>
        </w:rPr>
      </w:pPr>
    </w:p>
    <w:p>
      <w:pPr>
        <w:ind w:left="780" w:hanging="451"/>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of financial instruments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assets and liabilities are offset and the net amount reported in the statements of financial position where there is a legally enforceable right to offset the recognized amounts and there is an intention settle on a net basis or realize the assets and settle the liability simultaneously. The legally enforceable right must not be contingent on future events and must be enforceable in the normal course of business and in the event of default, insolvency or bankruptcy of the Group or the counterparty.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left="320"/>
        <w:spacing w:after="0"/>
        <w:tabs>
          <w:tab w:leader="none" w:pos="7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Financial liabilities</w:t>
      </w:r>
    </w:p>
    <w:p>
      <w:pPr>
        <w:spacing w:after="0" w:line="222" w:lineRule="exact"/>
        <w:rPr>
          <w:sz w:val="20"/>
          <w:szCs w:val="20"/>
          <w:color w:val="auto"/>
        </w:rPr>
      </w:pPr>
    </w:p>
    <w:p>
      <w:pPr>
        <w:ind w:left="780" w:hanging="451"/>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and measurement</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Group’s financial liabilities at fair value through profit or loss are financial instruments held for trading. A financial liability is held for trading if it is incurred principally for the purpose of repurchasing in the near term. A derivative that is not a designated hedging instruments and an embedded derivative that is separated are also classified as held for trading.</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 classifies non-derivative financial liabilities, except for financial liabilities at fair value through profit or loss, financial guarantee contracts and financial liabilities that arise when a transfer of financial assets does not qualify for derecognition, as financial liabilities carried at amortized cost and present as ‘trade and other payables’ and ‘other financial liabilities’ in the consolidated statement of financial position.</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Preferred shares that require mandatory redemption at a particular date are classified as liabilities. Interest expenses on these preferred shares using the effective interest method are recognized in the consolidated statement of comprehensive income as ‘finance costs’, together with interest expenses recognized from other financial liabilities.</w:t>
      </w:r>
    </w:p>
    <w:p>
      <w:pPr>
        <w:spacing w:after="0" w:line="176" w:lineRule="exact"/>
        <w:rPr>
          <w:sz w:val="20"/>
          <w:szCs w:val="20"/>
          <w:color w:val="auto"/>
        </w:rPr>
      </w:pPr>
    </w:p>
    <w:p>
      <w:pPr>
        <w:ind w:left="780" w:hanging="451"/>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liabilities are removed from the statement of financial position when it is extinguished; for example, when the obligation specified in the contract is discharged or cancelled or expired or when the terms of an existing financial liability are substantially modified. The difference between the carrying amount of a financial liability extinguished or transferred to another party and the consideration paid (including any noncash assets transferred or liabilities assumed) is recognized in profit or loss.</w:t>
      </w:r>
    </w:p>
    <w:p>
      <w:pPr>
        <w:spacing w:after="0" w:line="180" w:lineRule="exact"/>
        <w:rPr>
          <w:sz w:val="20"/>
          <w:szCs w:val="20"/>
          <w:color w:val="auto"/>
        </w:rPr>
      </w:pPr>
    </w:p>
    <w:p>
      <w:pPr>
        <w:ind w:left="320"/>
        <w:spacing w:after="0"/>
        <w:tabs>
          <w:tab w:leader="none" w:pos="7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Fair value measurement</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‘Fair value’ is the price that would be received to sell an asset or paid to transfer a liability in an orderly transaction between market participants at the measurement date in the principal or, in its absence, the most advantageous market to which the Group has access at that date. In estimating the fair value of assets or liabilities, the Group considers the characteristics of the asset or liability that market participants would take into account when pricing the asset or liability at the measurement date. Except for measurements that are similar to fair value but are not fair value, such as share-based payment transactions within the scope of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lease transactions within the scope of IAS 17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net realizable value of inventories under IAS 2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and value in use under IAS 36</w:t>
      </w:r>
      <w:r>
        <w:rPr>
          <w:rFonts w:ascii="Times New Roman" w:cs="Times New Roman" w:eastAsia="Times New Roman" w:hAnsi="Times New Roman"/>
          <w:sz w:val="18"/>
          <w:szCs w:val="18"/>
          <w:i w:val="1"/>
          <w:iCs w:val="1"/>
          <w:color w:val="auto"/>
        </w:rPr>
        <w:t xml:space="preserve"> Impairment of Assets</w:t>
      </w:r>
      <w:r>
        <w:rPr>
          <w:rFonts w:ascii="Times New Roman" w:cs="Times New Roman" w:eastAsia="Times New Roman" w:hAnsi="Times New Roman"/>
          <w:sz w:val="18"/>
          <w:szCs w:val="18"/>
          <w:color w:val="auto"/>
        </w:rPr>
        <w:t>, fair value measurements or disclosures are determined in accordance with the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 number of the Group’s accounting policies and disclosures require the measurement of fair values, for both financial and non-financial assets and liabilities. Fair values are categorized into different levels in a fair value hierarchy based on the inputs used in the valuation techniques as follows:</w:t>
      </w:r>
    </w:p>
    <w:p>
      <w:pPr>
        <w:spacing w:after="0" w:line="163" w:lineRule="exact"/>
        <w:rPr>
          <w:sz w:val="20"/>
          <w:szCs w:val="20"/>
          <w:color w:val="auto"/>
        </w:rPr>
      </w:pPr>
    </w:p>
    <w:p>
      <w:pPr>
        <w:ind w:left="660" w:hanging="331"/>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either directly (i.e., as prices) or indirectly (i.e., derived from prices).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(unobservable inputs).</w:t>
      </w:r>
    </w:p>
    <w:p>
      <w:pPr>
        <w:spacing w:after="0" w:line="222" w:lineRule="exact"/>
        <w:rPr>
          <w:sz w:val="20"/>
          <w:szCs w:val="20"/>
          <w:color w:val="auto"/>
        </w:rPr>
      </w:pPr>
    </w:p>
    <w:p>
      <w:pPr>
        <w:ind w:left="320"/>
        <w:spacing w:after="0"/>
        <w:tabs>
          <w:tab w:leader="none" w:pos="7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Approval of the financial statements</w:t>
      </w:r>
    </w:p>
    <w:p>
      <w:pPr>
        <w:spacing w:after="0" w:line="2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consolidated financial statements of the Group was initially approved by the Board of Directors on January 26, 2026, which is subject to change with approval at the annual shareholders’ meeting.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Critical accounting estimates and assumptions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preparation of financial statements requires the Group to make estimates and assumptions concerning the future. Management also needs to exercise judgement in applying the Group’s accounting policies. Estimates and assumptions are continually evaluated and are based on historical experience and other factors, including expectations of future events that are believed to be reasonable under the circumstances. As the resulting accounting estimates will, by definition, seldom equal the related actual results, it can contain a significant risk of causing a material adjustment.</w:t>
      </w:r>
    </w:p>
    <w:p>
      <w:pPr>
        <w:spacing w:after="0" w:line="18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estimates and assumptions that have a significant risk of causing a material adjustment to the carrying amounts of assets and liabilities within the next financial year are discussed below. Additional information of significant judgement and assumptions of certain items are included in relevant notes.</w:t>
      </w:r>
    </w:p>
    <w:p>
      <w:pPr>
        <w:spacing w:after="0" w:line="163" w:lineRule="exact"/>
        <w:rPr>
          <w:sz w:val="20"/>
          <w:szCs w:val="20"/>
          <w:color w:val="auto"/>
        </w:rPr>
      </w:pPr>
    </w:p>
    <w:p>
      <w:pPr>
        <w:ind w:left="780" w:hanging="451"/>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82"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Revenue from construction contracts is recognized over time using the percentage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completion method. The stage of completion is determined based on the proportion of actual cumulative contract costs incurred to date relative to the estimated total contract costs for each contract. Total contract revenue is initially measured based on the contract price agreed with the customer; however, contract revenue may increase as a result of approved variations and incentive payments, or decrease due to liquidated damages incurred when completion is delayed for reasons attributable to the Group. Accordingly, the measurement of contract revenue is subject to various uncertainties related to the outcomes of future events. Contract revenue is included only to the extent that it is highly probable that the customer will approve variations and the related amount of revenue, or that the Group will satisfy the performance criteria for incentive payments, and the amount can be measured reliably. The amount of construction revenue recognized is affected by the stage of completion measured based on actual cumulative contract costs incurred, and estimated total contract costs are determined based on future expectations regarding material costs, labor costs, construction periods, and other relevant factors.</w:t>
      </w:r>
    </w:p>
    <w:p>
      <w:pPr>
        <w:spacing w:after="0" w:line="201" w:lineRule="exact"/>
        <w:rPr>
          <w:sz w:val="20"/>
          <w:szCs w:val="20"/>
          <w:color w:val="auto"/>
        </w:rPr>
      </w:pPr>
    </w:p>
    <w:p>
      <w:pPr>
        <w:ind w:left="780" w:hanging="451"/>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taxable income generated from the Group’s operations are subject to income taxes based on tax laws and interpretations of tax authorities in numerous jurisdictions. There are many transactions and calculations for which the ultimate tax determination is uncertain (Note 30).</w:t>
      </w:r>
    </w:p>
    <w:p>
      <w:pPr>
        <w:spacing w:after="0" w:line="163" w:lineRule="exact"/>
        <w:rPr>
          <w:sz w:val="20"/>
          <w:szCs w:val="20"/>
          <w:color w:val="auto"/>
        </w:rPr>
      </w:pPr>
    </w:p>
    <w:p>
      <w:pPr>
        <w:ind w:left="780" w:hanging="451"/>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defined benefit liabilities (assets)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present value of net defined benefit liabilities (assets) depends on a number of factors that are determined on an actuarial basis using a number of assumptions including the discount rate (Note 17).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Types of products and services from which the reportable segment derives its revenue</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Group’s management determines operating segments based on information reported to the chief operating decision maker for the purpose of allocating resources and assessing segment performance. The Group’s operating segments consist of the AI-based Digital Contact Center segment and the Pet Healthcare segment.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accordance with IFRS 8, the reportable segments of the Group are as follows:</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562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AI-based Digital Contact Center</w:t>
            </w:r>
          </w:p>
        </w:tc>
        <w:tc>
          <w:tcPr>
            <w:tcW w:w="220" w:type="dxa"/>
            <w:vAlign w:val="bottom"/>
          </w:tcPr>
          <w:p>
            <w:pPr>
              <w:spacing w:after="0"/>
              <w:rPr>
                <w:sz w:val="24"/>
                <w:szCs w:val="24"/>
                <w:color w:val="auto"/>
              </w:rPr>
            </w:pPr>
          </w:p>
        </w:tc>
        <w:tc>
          <w:tcPr>
            <w:tcW w:w="2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Pet Healthcare Segment</w:t>
            </w:r>
          </w:p>
        </w:tc>
      </w:tr>
      <w:tr>
        <w:trPr>
          <w:trHeight w:val="190"/>
        </w:trPr>
        <w:tc>
          <w:tcPr>
            <w:tcW w:w="260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Services provided</w:t>
            </w:r>
          </w:p>
        </w:tc>
        <w:tc>
          <w:tcPr>
            <w:tcW w:w="22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CRM solutions, SMS and MMS infrastructure development and operation</w:t>
            </w:r>
          </w:p>
        </w:tc>
        <w:tc>
          <w:tcPr>
            <w:tcW w:w="22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Pet food manufacturing and sales</w:t>
            </w:r>
          </w:p>
        </w:tc>
      </w:tr>
      <w:tr>
        <w:trPr>
          <w:trHeight w:val="233"/>
        </w:trPr>
        <w:tc>
          <w:tcPr>
            <w:tcW w:w="2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196"/>
        </w:trPr>
        <w:tc>
          <w:tcPr>
            <w:tcW w:w="2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Major customers</w:t>
            </w:r>
          </w:p>
        </w:tc>
        <w:tc>
          <w:tcPr>
            <w:tcW w:w="5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Banks and financial institutions, general corporations, wired and wireless</w:t>
            </w:r>
          </w:p>
        </w:tc>
        <w:tc>
          <w:tcPr>
            <w:tcW w:w="280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General consumers</w:t>
            </w:r>
          </w:p>
        </w:tc>
      </w:tr>
      <w:tr>
        <w:trPr>
          <w:trHeight w:val="233"/>
        </w:trPr>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telecommunications operators</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15"/>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channels</w:t>
            </w: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RFP and public bidding</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Websites and social commerce</w:t>
            </w: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Segment revenue and operating results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and operating profit (loss) by reportable segments for the year ended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4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ind w:right="31"/>
              <w:spacing w:after="0" w:line="186" w:lineRule="exact"/>
              <w:rPr>
                <w:sz w:val="20"/>
                <w:szCs w:val="20"/>
                <w:color w:val="auto"/>
              </w:rPr>
            </w:pPr>
            <w:r>
              <w:rPr>
                <w:rFonts w:ascii="Times New Roman" w:cs="Times New Roman" w:eastAsia="Times New Roman" w:hAnsi="Times New Roman"/>
                <w:sz w:val="18"/>
                <w:szCs w:val="18"/>
                <w:b w:val="1"/>
                <w:bCs w:val="1"/>
                <w:color w:val="auto"/>
                <w:w w:val="99"/>
              </w:rPr>
              <w:t>AI-based</w:t>
            </w:r>
          </w:p>
        </w:tc>
        <w:tc>
          <w:tcPr>
            <w:tcW w:w="13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5"/>
              </w:rPr>
              <w:t>Pet</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Digital Contact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Center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Segment</w:t>
            </w:r>
          </w:p>
        </w:tc>
        <w:tc>
          <w:tcPr>
            <w:tcW w:w="15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Intersegment</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4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2"/>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8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60,250,812</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4,567,430</w:t>
            </w:r>
          </w:p>
        </w:tc>
        <w:tc>
          <w:tcPr>
            <w:tcW w:w="15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64,818,242</w:t>
            </w:r>
          </w:p>
        </w:tc>
      </w:tr>
      <w:tr>
        <w:trPr>
          <w:trHeight w:val="21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80" w:type="dxa"/>
            <w:vAlign w:val="bottom"/>
          </w:tcPr>
          <w:p>
            <w:pPr>
              <w:spacing w:after="0"/>
              <w:rPr>
                <w:sz w:val="18"/>
                <w:szCs w:val="18"/>
                <w:color w:val="auto"/>
              </w:rPr>
            </w:pPr>
          </w:p>
        </w:tc>
        <w:tc>
          <w:tcPr>
            <w:tcW w:w="13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1,007,447</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304,416</w:t>
            </w:r>
          </w:p>
        </w:tc>
        <w:tc>
          <w:tcPr>
            <w:tcW w:w="15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3,158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1,315,021</w:t>
            </w:r>
          </w:p>
        </w:tc>
        <w:tc>
          <w:tcPr>
            <w:tcW w:w="100" w:type="dxa"/>
            <w:vAlign w:val="bottom"/>
          </w:tcPr>
          <w:p>
            <w:pPr>
              <w:spacing w:after="0"/>
              <w:rPr>
                <w:sz w:val="18"/>
                <w:szCs w:val="18"/>
                <w:color w:val="auto"/>
              </w:rPr>
            </w:pPr>
          </w:p>
        </w:tc>
      </w:tr>
      <w:tr>
        <w:trPr>
          <w:trHeight w:val="21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243,661</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2,753</w:t>
            </w:r>
          </w:p>
        </w:tc>
        <w:tc>
          <w:tcPr>
            <w:tcW w:w="15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246,414</w:t>
            </w:r>
          </w:p>
        </w:tc>
      </w:tr>
      <w:tr>
        <w:trPr>
          <w:trHeight w:val="30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880" w:type="dxa"/>
            <w:vAlign w:val="bottom"/>
          </w:tcPr>
          <w:p>
            <w:pPr>
              <w:ind w:left="16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786,977</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263,163</w:t>
            </w: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(3,158)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1,046,982</w:t>
            </w:r>
          </w:p>
        </w:tc>
        <w:tc>
          <w:tcPr>
            <w:tcW w:w="100" w:type="dxa"/>
            <w:vAlign w:val="bottom"/>
          </w:tcPr>
          <w:p>
            <w:pPr>
              <w:spacing w:after="0"/>
              <w:rPr>
                <w:sz w:val="24"/>
                <w:szCs w:val="24"/>
                <w:color w:val="auto"/>
              </w:rPr>
            </w:pPr>
          </w:p>
        </w:tc>
      </w:tr>
    </w:tbl>
    <w:p>
      <w:pPr>
        <w:spacing w:after="0" w:line="1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Segment assets and liabilities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and liabilities by reportable segments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3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60" w:type="dxa"/>
            <w:vAlign w:val="bottom"/>
          </w:tcPr>
          <w:p>
            <w:pPr>
              <w:jc w:val="center"/>
              <w:ind w:right="71"/>
              <w:spacing w:after="0" w:line="186" w:lineRule="exact"/>
              <w:rPr>
                <w:sz w:val="20"/>
                <w:szCs w:val="20"/>
                <w:color w:val="auto"/>
              </w:rPr>
            </w:pPr>
            <w:r>
              <w:rPr>
                <w:rFonts w:ascii="Times New Roman" w:cs="Times New Roman" w:eastAsia="Times New Roman" w:hAnsi="Times New Roman"/>
                <w:sz w:val="18"/>
                <w:szCs w:val="18"/>
                <w:b w:val="1"/>
                <w:bCs w:val="1"/>
                <w:color w:val="auto"/>
                <w:w w:val="99"/>
              </w:rPr>
              <w:t>AI-based</w:t>
            </w: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6"/>
              </w:rPr>
              <w:t>Digital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Pet</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Center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Segment</w:t>
            </w: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31,862,422</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2,083,672</w:t>
            </w:r>
          </w:p>
        </w:tc>
        <w:tc>
          <w:tcPr>
            <w:tcW w:w="14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(995,850)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32,950,244</w:t>
            </w:r>
          </w:p>
        </w:tc>
      </w:tr>
      <w:tr>
        <w:trPr>
          <w:trHeight w:val="21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w:t>
            </w:r>
          </w:p>
        </w:tc>
        <w:tc>
          <w:tcPr>
            <w:tcW w:w="2360" w:type="dxa"/>
            <w:vAlign w:val="bottom"/>
          </w:tcPr>
          <w:p>
            <w:pPr>
              <w:spacing w:after="0"/>
              <w:rPr>
                <w:sz w:val="18"/>
                <w:szCs w:val="18"/>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7,130,946</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261,619</w:t>
            </w: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(995,309)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6,397,256</w:t>
            </w:r>
          </w:p>
        </w:tc>
        <w:tc>
          <w:tcPr>
            <w:tcW w:w="100" w:type="dxa"/>
            <w:vAlign w:val="bottom"/>
          </w:tcPr>
          <w:p>
            <w:pPr>
              <w:spacing w:after="0"/>
              <w:rPr>
                <w:sz w:val="18"/>
                <w:szCs w:val="18"/>
                <w:color w:val="auto"/>
              </w:rPr>
            </w:pPr>
          </w:p>
        </w:tc>
      </w:tr>
      <w:tr>
        <w:trPr>
          <w:trHeight w:val="21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6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18,437,410</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1,005,231</w:t>
            </w:r>
          </w:p>
        </w:tc>
        <w:tc>
          <w:tcPr>
            <w:tcW w:w="14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19,442,641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Non-current assets exclude financial assets, deferred tax assets, net defined benefit assets, and contract assets.</w:t>
      </w:r>
    </w:p>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Information about geographical areas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operates only in the domestic market. Accordingly, all major non-current assets related to operations are located in Korea.</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Information about major customers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external customers accounting for 10% or more of the Group’s revenue for the year ended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6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14,567,098</w:t>
            </w:r>
          </w:p>
        </w:tc>
        <w:tc>
          <w:tcPr>
            <w:tcW w:w="0" w:type="dxa"/>
            <w:vAlign w:val="bottom"/>
          </w:tcPr>
          <w:p>
            <w:pPr>
              <w:spacing w:after="0"/>
              <w:rPr>
                <w:sz w:val="1"/>
                <w:szCs w:val="1"/>
                <w:color w:val="auto"/>
              </w:rPr>
            </w:pPr>
          </w:p>
        </w:tc>
      </w:tr>
      <w:tr>
        <w:trPr>
          <w:trHeight w:val="215"/>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10,717,103</w:t>
            </w:r>
          </w:p>
        </w:tc>
        <w:tc>
          <w:tcPr>
            <w:tcW w:w="0" w:type="dxa"/>
            <w:vAlign w:val="bottom"/>
          </w:tcPr>
          <w:p>
            <w:pPr>
              <w:spacing w:after="0"/>
              <w:rPr>
                <w:sz w:val="1"/>
                <w:szCs w:val="1"/>
                <w:color w:val="auto"/>
              </w:rPr>
            </w:pPr>
          </w:p>
        </w:tc>
      </w:tr>
      <w:tr>
        <w:trPr>
          <w:trHeight w:val="215"/>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6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Cash and Cash Equivalents and Short-term financial instruments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Details of cash and cash equivalents and short-term financial instruments as of December 31, 2025 are as follows: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in banks</w:t>
            </w:r>
          </w:p>
        </w:tc>
        <w:tc>
          <w:tcPr>
            <w:tcW w:w="6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financial instruments</w:t>
            </w:r>
          </w:p>
        </w:tc>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222"/>
        </w:trPr>
        <w:tc>
          <w:tcPr>
            <w:tcW w:w="3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180" w:type="dxa"/>
            <w:vAlign w:val="bottom"/>
            <w:tcBorders>
              <w:top w:val="single" w:sz="8" w:color="CCEEFF"/>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Restricted financial assets</w:t>
            </w:r>
          </w:p>
        </w:tc>
        <w:tc>
          <w:tcPr>
            <w:tcW w:w="6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460" w:type="dxa"/>
            <w:vAlign w:val="bottom"/>
            <w:gridSpan w:val="2"/>
            <w:vMerge w:val="continue"/>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Details of restricted financial assets as of December 31, 2025 are as follows: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346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618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190"/>
        </w:trPr>
        <w:tc>
          <w:tcPr>
            <w:tcW w:w="336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Financial assets at fair value through profit or</w:t>
            </w:r>
          </w:p>
        </w:tc>
        <w:tc>
          <w:tcPr>
            <w:tcW w:w="100" w:type="dxa"/>
            <w:vAlign w:val="bottom"/>
            <w:tcBorders>
              <w:top w:val="single" w:sz="8" w:color="CCEEFF"/>
            </w:tcBorders>
            <w:shd w:val="clear" w:color="auto" w:fill="CCEEFF"/>
          </w:tcPr>
          <w:p>
            <w:pPr>
              <w:spacing w:after="0"/>
              <w:rPr>
                <w:sz w:val="16"/>
                <w:szCs w:val="16"/>
                <w:color w:val="auto"/>
              </w:rPr>
            </w:pPr>
          </w:p>
        </w:tc>
        <w:tc>
          <w:tcPr>
            <w:tcW w:w="6180" w:type="dxa"/>
            <w:vAlign w:val="bottom"/>
            <w:tcBorders>
              <w:top w:val="single" w:sz="8" w:color="auto"/>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Pledge provided in connection with project performance guarantees and others (*)</w:t>
            </w:r>
          </w:p>
        </w:tc>
        <w:tc>
          <w:tcPr>
            <w:tcW w:w="380" w:type="dxa"/>
            <w:vAlign w:val="bottom"/>
            <w:tcBorders>
              <w:top w:val="single" w:sz="8" w:color="CCEEF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618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ind w:left="5540" w:right="5000" w:hanging="5533"/>
        <w:spacing w:after="0" w:line="653"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investment contribution is provided as collateral. (See Notes 10 and 37)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Trade and other receivables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Details of trade and other receivables</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Details of trade and other receivables as of December 31, 2025 are as follows:</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7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7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8"/>
        </w:trPr>
        <w:tc>
          <w:tcPr>
            <w:tcW w:w="7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0" w:type="dxa"/>
            <w:vAlign w:val="bottom"/>
          </w:tcPr>
          <w:p>
            <w:pPr>
              <w:spacing w:after="0"/>
              <w:rPr>
                <w:sz w:val="18"/>
                <w:szCs w:val="18"/>
                <w:color w:val="auto"/>
              </w:rPr>
            </w:pPr>
          </w:p>
        </w:tc>
      </w:tr>
      <w:tr>
        <w:trPr>
          <w:trHeight w:val="208"/>
        </w:trPr>
        <w:tc>
          <w:tcPr>
            <w:tcW w:w="7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7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11,323,305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7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8"/>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Trade receivables</w:t>
            </w:r>
          </w:p>
        </w:tc>
        <w:tc>
          <w:tcPr>
            <w:tcW w:w="17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11,290,305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Guarantee deposits</w:t>
            </w:r>
          </w:p>
        </w:tc>
        <w:tc>
          <w:tcPr>
            <w:tcW w:w="17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627,587</w:t>
            </w:r>
          </w:p>
        </w:tc>
      </w:tr>
      <w:tr>
        <w:trPr>
          <w:trHeight w:val="21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(31,994)</w:t>
            </w:r>
          </w:p>
        </w:tc>
      </w:tr>
      <w:tr>
        <w:trPr>
          <w:trHeight w:val="20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Subtotal: Guarantee deposits</w:t>
            </w:r>
          </w:p>
        </w:tc>
        <w:tc>
          <w:tcPr>
            <w:tcW w:w="17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595,593</w:t>
            </w:r>
          </w:p>
        </w:tc>
        <w:tc>
          <w:tcPr>
            <w:tcW w:w="100" w:type="dxa"/>
            <w:vAlign w:val="bottom"/>
            <w:tcBorders>
              <w:bottom w:val="single" w:sz="8" w:color="CCEEFF"/>
            </w:tcBorders>
          </w:tcPr>
          <w:p>
            <w:pPr>
              <w:spacing w:after="0"/>
              <w:rPr>
                <w:sz w:val="18"/>
                <w:szCs w:val="18"/>
                <w:color w:val="auto"/>
              </w:rPr>
            </w:pPr>
          </w:p>
        </w:tc>
      </w:tr>
      <w:tr>
        <w:trPr>
          <w:trHeight w:val="208"/>
        </w:trPr>
        <w:tc>
          <w:tcPr>
            <w:tcW w:w="700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11,294,244</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Credit risk and allowance for doubtful accounts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trade receivables and other receivables are measured at amortized cost.</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average credit period for sales is 90 days. However, receivables that are expected to be collected after 90 days due to contractual terms are not considered past due. The Group applies the simplified approach to recognize lifetime expected credit losses for trade receivables. Expected credit losses are measured by grouping receivables based on shared credit risk characteristics and days past due, using historical credit loss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receivables from LG Uplus Corp. amount to Korean won 4,705,651 thousand, representing 41.56% of total trade receivables.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customers accounting for more than 5% of total trade receivables include KT Corp. and SK Broadband Co., Ltd.</w:t>
      </w:r>
    </w:p>
    <w:p>
      <w:pPr>
        <w:spacing w:after="0" w:line="204" w:lineRule="exact"/>
        <w:rPr>
          <w:sz w:val="20"/>
          <w:szCs w:val="20"/>
          <w:color w:val="auto"/>
        </w:rPr>
      </w:pPr>
    </w:p>
    <w:p>
      <w:pPr>
        <w:ind w:left="660" w:hanging="331"/>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past-due but not impaired trade receivables as of December 31, 2025.</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aging analysis of impaired trade receivables and other receivables as of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Over one year</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760" w:type="dxa"/>
            <w:vAlign w:val="bottom"/>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47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08"/>
        </w:trPr>
        <w:tc>
          <w:tcPr>
            <w:tcW w:w="5260" w:type="dxa"/>
            <w:vAlign w:val="bottom"/>
            <w:tcBorders>
              <w:top w:val="single" w:sz="8" w:color="CCEEFF"/>
              <w:bottom w:val="single" w:sz="8" w:color="CCEEFF"/>
            </w:tcBorders>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Borders>
              <w:top w:val="single" w:sz="8" w:color="CCEEFF"/>
              <w:bottom w:val="single" w:sz="8" w:color="CCEEFF"/>
            </w:tcBorders>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760" w:type="dxa"/>
            <w:vAlign w:val="bottom"/>
            <w:vMerge w:val="restart"/>
          </w:tcPr>
          <w:p>
            <w:pPr>
              <w:jc w:val="right"/>
              <w:ind w:right="4211"/>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52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left="660" w:right="20" w:hanging="331"/>
        <w:spacing w:after="0" w:line="279"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allowance for doubtful accounts for trade receivables and other receivables during the year ended December 31, 2025 (Korean won 33,000 thousand).</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59"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assessing the recoverability of trade receivables, the Group considers changes in credit quality from the date of initial recognition to the end of the reporting period. As the Group has a large number of customers with no significant interrelationships, concentration of credit risk is limited. The recognized impairment loss represents the difference between the carrying amount and the recoverable amount of receivables deemed unlikely to be collected, based on past experience and credit evaluations.</w:t>
      </w:r>
    </w:p>
    <w:p>
      <w:pPr>
        <w:spacing w:after="0" w:line="176"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Details of inventories as of December 31, 2025 are as follows:</w:t>
            </w: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5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7"/>
        </w:trPr>
        <w:tc>
          <w:tcPr>
            <w:tcW w:w="5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0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(*1), (*2)</w:t>
            </w:r>
          </w:p>
        </w:tc>
        <w:tc>
          <w:tcPr>
            <w:tcW w:w="2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8"/>
        </w:trPr>
        <w:tc>
          <w:tcPr>
            <w:tcW w:w="5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8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517,618</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495,654</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Merchandise</w:t>
            </w:r>
          </w:p>
        </w:tc>
        <w:tc>
          <w:tcPr>
            <w:tcW w:w="15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322,796</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322,796</w:t>
            </w:r>
          </w:p>
        </w:tc>
      </w:tr>
      <w:tr>
        <w:trPr>
          <w:trHeight w:val="21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82,794</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82,794</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Goods in transit</w:t>
            </w:r>
          </w:p>
        </w:tc>
        <w:tc>
          <w:tcPr>
            <w:tcW w:w="15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8"/>
        </w:trPr>
        <w:tc>
          <w:tcPr>
            <w:tcW w:w="5780" w:type="dxa"/>
            <w:vAlign w:val="bottom"/>
            <w:tcBorders>
              <w:top w:val="single" w:sz="8" w:color="CCEEFF"/>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CCEEFF"/>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jc w:val="both"/>
        <w:ind w:left="460" w:hanging="459"/>
        <w:spacing w:after="0" w:line="259" w:lineRule="auto"/>
        <w:tabs>
          <w:tab w:leader="none" w:pos="440" w:val="left"/>
        </w:tabs>
        <w:rPr>
          <w:sz w:val="20"/>
          <w:szCs w:val="20"/>
          <w:color w:val="auto"/>
        </w:rPr>
      </w:pPr>
      <w:r>
        <w:rPr>
          <w:rFonts w:ascii="Times New Roman" w:cs="Times New Roman" w:eastAsia="Times New Roman" w:hAnsi="Times New Roman"/>
          <w:sz w:val="18"/>
          <w:szCs w:val="18"/>
          <w:color w:val="auto"/>
        </w:rPr>
        <w:t>(*1)</w:t>
        <w:tab/>
        <w:t>For the year ended December 31, 2025, the Group disposed of inventories amounting to Korean won 942,718 thousand for which full impairment losses had been recognized in prior periods.</w:t>
      </w:r>
    </w:p>
    <w:p>
      <w:pPr>
        <w:spacing w:after="0" w:line="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w:t>
        <w:tab/>
        <w:t>For the year ended December 31, 2025, the Group recognized a reversal of inventory write-downs to net realizable value amounting to Korean won</w:t>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1,499 thousand, which is included in cost of 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Other Assets</w:t>
            </w:r>
          </w:p>
        </w:tc>
        <w:tc>
          <w:tcPr>
            <w:tcW w:w="2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Details of other assets as of December 31, 2025 are as follows:</w:t>
            </w:r>
          </w:p>
        </w:tc>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6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6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8"/>
        </w:trPr>
        <w:tc>
          <w:tcPr>
            <w:tcW w:w="6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0" w:type="dxa"/>
            <w:vAlign w:val="bottom"/>
          </w:tcPr>
          <w:p>
            <w:pPr>
              <w:spacing w:after="0"/>
              <w:rPr>
                <w:sz w:val="18"/>
                <w:szCs w:val="18"/>
                <w:color w:val="auto"/>
              </w:rPr>
            </w:pPr>
          </w:p>
        </w:tc>
      </w:tr>
      <w:tr>
        <w:trPr>
          <w:trHeight w:val="208"/>
        </w:trPr>
        <w:tc>
          <w:tcPr>
            <w:tcW w:w="6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5"/>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24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77,439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w:t>
            </w:r>
          </w:p>
        </w:tc>
        <w:tc>
          <w:tcPr>
            <w:tcW w:w="2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4,279,744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369,646</w:t>
            </w:r>
          </w:p>
        </w:tc>
      </w:tr>
      <w:tr>
        <w:trPr>
          <w:trHeight w:val="208"/>
        </w:trPr>
        <w:tc>
          <w:tcPr>
            <w:tcW w:w="6460" w:type="dxa"/>
            <w:vAlign w:val="bottom"/>
            <w:tcBorders>
              <w:top w:val="single" w:sz="8" w:color="CCEEFF"/>
              <w:bottom w:val="single" w:sz="8" w:color="CCEEFF"/>
            </w:tcBorders>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top w:val="single" w:sz="8" w:color="CCEEFF"/>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4,357,183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17" w:lineRule="exact"/>
        <w:rPr>
          <w:sz w:val="20"/>
          <w:szCs w:val="20"/>
          <w:color w:val="auto"/>
        </w:rPr>
      </w:pPr>
    </w:p>
    <w:p>
      <w:pPr>
        <w:ind w:left="5540" w:right="4940" w:hanging="5533"/>
        <w:spacing w:after="0" w:line="653"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include costs to fulfill contracts related to projects. (see Note 15).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assets at fair value through profit or loss</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tab/>
        <w:t>Financial assets at FVTPL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financial assets measured at fair value through profit or loss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58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58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58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58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contributions</w:t>
            </w:r>
          </w:p>
        </w:tc>
        <w:tc>
          <w:tcPr>
            <w:tcW w:w="420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1,005,980</w:t>
            </w:r>
          </w:p>
        </w:tc>
        <w:tc>
          <w:tcPr>
            <w:tcW w:w="100" w:type="dxa"/>
            <w:vAlign w:val="bottom"/>
            <w:shd w:val="clear" w:color="auto" w:fill="CCEEFF"/>
          </w:tcPr>
          <w:p>
            <w:pPr>
              <w:spacing w:after="0"/>
              <w:rPr>
                <w:sz w:val="18"/>
                <w:szCs w:val="18"/>
                <w:color w:val="auto"/>
              </w:rPr>
            </w:pP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Details of financial assets at FVTPL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financial assets measured at fair value through profit or loss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7180" w:type="dxa"/>
            <w:vAlign w:val="bottom"/>
          </w:tcPr>
          <w:p>
            <w:pPr>
              <w:spacing w:after="0"/>
              <w:rPr>
                <w:sz w:val="16"/>
                <w:szCs w:val="16"/>
                <w:color w:val="auto"/>
              </w:rPr>
            </w:pPr>
          </w:p>
        </w:tc>
        <w:tc>
          <w:tcPr>
            <w:tcW w:w="1180" w:type="dxa"/>
            <w:vAlign w:val="bottom"/>
          </w:tcPr>
          <w:p>
            <w:pPr>
              <w:jc w:val="right"/>
              <w:ind w:right="111"/>
              <w:spacing w:after="0" w:line="186"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340" w:type="dxa"/>
            <w:vAlign w:val="bottom"/>
          </w:tcPr>
          <w:p>
            <w:pPr>
              <w:spacing w:after="0"/>
              <w:rPr>
                <w:sz w:val="16"/>
                <w:szCs w:val="16"/>
                <w:color w:val="auto"/>
              </w:rPr>
            </w:pPr>
          </w:p>
        </w:tc>
        <w:tc>
          <w:tcPr>
            <w:tcW w:w="1320" w:type="dxa"/>
            <w:vAlign w:val="bottom"/>
            <w:gridSpan w:val="2"/>
          </w:tcPr>
          <w:p>
            <w:pPr>
              <w:jc w:val="right"/>
              <w:ind w:right="340"/>
              <w:spacing w:after="0" w:line="186" w:lineRule="exact"/>
              <w:rPr>
                <w:sz w:val="20"/>
                <w:szCs w:val="20"/>
                <w:color w:val="auto"/>
              </w:rPr>
            </w:pPr>
            <w:r>
              <w:rPr>
                <w:rFonts w:ascii="Times New Roman" w:cs="Times New Roman" w:eastAsia="Times New Roman" w:hAnsi="Times New Roman"/>
                <w:sz w:val="18"/>
                <w:szCs w:val="18"/>
                <w:b w:val="1"/>
                <w:bCs w:val="1"/>
                <w:color w:val="auto"/>
              </w:rPr>
              <w:t>Acquisition</w:t>
            </w: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r>
      <w:tr>
        <w:trPr>
          <w:trHeight w:val="237"/>
        </w:trPr>
        <w:tc>
          <w:tcPr>
            <w:tcW w:w="7180" w:type="dxa"/>
            <w:vAlign w:val="bottom"/>
          </w:tcPr>
          <w:p>
            <w:pPr>
              <w:spacing w:after="0"/>
              <w:rPr>
                <w:sz w:val="20"/>
                <w:szCs w:val="20"/>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8"/>
        </w:trPr>
        <w:tc>
          <w:tcPr>
            <w:tcW w:w="7180" w:type="dxa"/>
            <w:vAlign w:val="bottom"/>
          </w:tcPr>
          <w:p>
            <w:pPr>
              <w:spacing w:after="0"/>
              <w:rPr>
                <w:sz w:val="18"/>
                <w:szCs w:val="18"/>
                <w:color w:val="auto"/>
              </w:rPr>
            </w:pPr>
          </w:p>
        </w:tc>
        <w:tc>
          <w:tcPr>
            <w:tcW w:w="3960" w:type="dxa"/>
            <w:vAlign w:val="bottom"/>
            <w:tcBorders>
              <w:top w:val="single" w:sz="8" w:color="auto"/>
            </w:tcBorders>
            <w:gridSpan w:val="5"/>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0" w:type="dxa"/>
            <w:vAlign w:val="bottom"/>
          </w:tcPr>
          <w:p>
            <w:pPr>
              <w:spacing w:after="0"/>
              <w:rPr>
                <w:sz w:val="18"/>
                <w:szCs w:val="18"/>
                <w:color w:val="auto"/>
              </w:rPr>
            </w:pPr>
          </w:p>
        </w:tc>
      </w:tr>
      <w:tr>
        <w:trPr>
          <w:trHeight w:val="215"/>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Information and Communications Mutual Aid Association (*1)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32,195</w:t>
            </w: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Software Mutual Aid Association (*1)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437,715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593,785</w:t>
            </w:r>
          </w:p>
        </w:tc>
      </w:tr>
      <w:tr>
        <w:trPr>
          <w:trHeight w:val="215"/>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Dandi Hamo Startup Investment Fund No. 1 (*2)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Busan Regional Innovation TIPS Fund No. 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08"/>
        </w:trPr>
        <w:tc>
          <w:tcPr>
            <w:tcW w:w="7180" w:type="dxa"/>
            <w:vAlign w:val="bottom"/>
            <w:tcBorders>
              <w:top w:val="single" w:sz="8" w:color="CCEEFF"/>
              <w:bottom w:val="single" w:sz="8" w:color="CCEEFF"/>
            </w:tcBorders>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full amount of the membership contributions has been pledged as collateral (see Notes 6 and 37).</w:t>
      </w:r>
    </w:p>
    <w:p>
      <w:pPr>
        <w:spacing w:after="0" w:line="26" w:lineRule="exact"/>
        <w:rPr>
          <w:sz w:val="20"/>
          <w:szCs w:val="20"/>
          <w:color w:val="auto"/>
        </w:rPr>
      </w:pPr>
    </w:p>
    <w:p>
      <w:pPr>
        <w:jc w:val="both"/>
        <w:ind w:left="460" w:hanging="459"/>
        <w:spacing w:after="0" w:line="257" w:lineRule="auto"/>
        <w:tabs>
          <w:tab w:leader="none" w:pos="440" w:val="left"/>
        </w:tabs>
        <w:rPr>
          <w:sz w:val="20"/>
          <w:szCs w:val="20"/>
          <w:color w:val="auto"/>
        </w:rPr>
      </w:pPr>
      <w:r>
        <w:rPr>
          <w:rFonts w:ascii="Times New Roman" w:cs="Times New Roman" w:eastAsia="Times New Roman" w:hAnsi="Times New Roman"/>
          <w:sz w:val="18"/>
          <w:szCs w:val="18"/>
          <w:color w:val="auto"/>
        </w:rPr>
        <w:t>(*2)</w:t>
        <w:tab/>
        <w:t>The Group determined that cost may be an appropriate estimate of fair value for these equity instruments in accordance with the “Fair Value Measurement Guidelines for Unlisted Shares.”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Property and equipment</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Details of property, plant and equipment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carrying amounts of property, plant and equipment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4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7"/>
        </w:trPr>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8"/>
        </w:trPr>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27,191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27,191</w:t>
            </w: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62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4"/>
              </w:rPr>
              <w:t>1,219,525</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(628,827)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590,698</w:t>
            </w: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1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893,478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(739,214)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131,435</w:t>
            </w: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16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205,353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(167,857)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37,496</w:t>
            </w: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61,444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19,010</w:t>
            </w: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2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4"/>
              </w:rPr>
              <w:t>3,603,690</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(3,172,379)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416,656</w:t>
            </w: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161,154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(161,154)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08"/>
        </w:trPr>
        <w:tc>
          <w:tcPr>
            <w:tcW w:w="44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4"/>
              </w:rPr>
              <w:t>6,171,835</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(4,911,865)</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(37,484)</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1,222,486</w:t>
            </w:r>
          </w:p>
        </w:tc>
        <w:tc>
          <w:tcPr>
            <w:tcW w:w="1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property, plant and equipment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property, plant and equipment for the year ended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3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ind w:left="280"/>
              <w:spacing w:after="0" w:line="186" w:lineRule="exact"/>
              <w:rPr>
                <w:sz w:val="20"/>
                <w:szCs w:val="20"/>
                <w:color w:val="auto"/>
              </w:rPr>
            </w:pPr>
            <w:r>
              <w:rPr>
                <w:rFonts w:ascii="Times New Roman" w:cs="Times New Roman" w:eastAsia="Times New Roman" w:hAnsi="Times New Roman"/>
                <w:sz w:val="18"/>
                <w:szCs w:val="18"/>
                <w:b w:val="1"/>
                <w:bCs w:val="1"/>
                <w:color w:val="auto"/>
              </w:rPr>
              <w:t>Ending</w:t>
            </w:r>
          </w:p>
        </w:tc>
        <w:tc>
          <w:tcPr>
            <w:tcW w:w="100" w:type="dxa"/>
            <w:vAlign w:val="bottom"/>
          </w:tcPr>
          <w:p>
            <w:pPr>
              <w:spacing w:after="0"/>
              <w:rPr>
                <w:sz w:val="16"/>
                <w:szCs w:val="16"/>
                <w:color w:val="auto"/>
              </w:rPr>
            </w:pPr>
          </w:p>
        </w:tc>
      </w:tr>
      <w:tr>
        <w:trPr>
          <w:trHeight w:val="237"/>
        </w:trPr>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Disposals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8"/>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27,191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27,191</w:t>
            </w:r>
          </w:p>
        </w:tc>
      </w:tr>
      <w:tr>
        <w:trPr>
          <w:trHeight w:val="21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631,352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590,698</w:t>
            </w:r>
          </w:p>
        </w:tc>
      </w:tr>
      <w:tr>
        <w:trPr>
          <w:trHeight w:val="215"/>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40,549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(119,104)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131,435</w:t>
            </w:r>
          </w:p>
        </w:tc>
      </w:tr>
      <w:tr>
        <w:trPr>
          <w:trHeight w:val="21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1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78,567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37,496</w:t>
            </w:r>
          </w:p>
        </w:tc>
      </w:tr>
      <w:tr>
        <w:trPr>
          <w:trHeight w:val="215"/>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19,010</w:t>
            </w:r>
          </w:p>
        </w:tc>
      </w:tr>
      <w:tr>
        <w:trPr>
          <w:trHeight w:val="21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252,260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(19,544)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(207,719)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416,656</w:t>
            </w:r>
          </w:p>
        </w:tc>
      </w:tr>
      <w:tr>
        <w:trPr>
          <w:trHeight w:val="208"/>
        </w:trPr>
        <w:tc>
          <w:tcPr>
            <w:tcW w:w="3420" w:type="dxa"/>
            <w:vAlign w:val="bottom"/>
            <w:tcBorders>
              <w:top w:val="single" w:sz="8" w:color="CCEEFF"/>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Depreciation expense of Korean won 544,465 thousand is included in selling and administrative expenses and includes depreciation of right-of-use assets (see Note 31).</w:t>
      </w:r>
    </w:p>
    <w:p>
      <w:pPr>
        <w:spacing w:after="0" w:line="159" w:lineRule="exact"/>
        <w:rPr>
          <w:sz w:val="20"/>
          <w:szCs w:val="20"/>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Assets Pledged as Collateral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none of the above property, plant and equipment has been pledged as collateral.</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Intangible assets</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Details of intangible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carrying amounts of intangible assets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4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42"/>
              <w:spacing w:after="0" w:line="186"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2"/>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7"/>
        </w:trPr>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4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20" w:type="dxa"/>
            <w:vAlign w:val="bottom"/>
            <w:gridSpan w:val="2"/>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8"/>
        </w:trPr>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4"/>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5,344,787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(2,606,030)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2,738,757</w:t>
            </w:r>
          </w:p>
        </w:tc>
        <w:tc>
          <w:tcPr>
            <w:tcW w:w="100" w:type="dxa"/>
            <w:vAlign w:val="bottom"/>
            <w:shd w:val="clear" w:color="auto" w:fill="CCEEFF"/>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Industrial property rights</w:t>
            </w:r>
          </w:p>
        </w:tc>
        <w:tc>
          <w:tcPr>
            <w:tcW w:w="16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71,643</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(71,643)</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960,555</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(958,440)</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w:t>
            </w: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Membership rights</w:t>
            </w:r>
          </w:p>
        </w:tc>
        <w:tc>
          <w:tcPr>
            <w:tcW w:w="16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537,535</w:t>
            </w: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537,535</w:t>
            </w:r>
          </w:p>
        </w:tc>
      </w:tr>
      <w:tr>
        <w:trPr>
          <w:trHeight w:val="22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3,750,935</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(3,268,038)</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482,897</w:t>
            </w:r>
          </w:p>
        </w:tc>
      </w:tr>
      <w:tr>
        <w:trPr>
          <w:trHeight w:val="222"/>
        </w:trPr>
        <w:tc>
          <w:tcPr>
            <w:tcW w:w="44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10,665,455</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(4,298,121</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(2,606,030</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3,761,304</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Changes in intangible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intangible assets for the year ended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9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4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20" w:type="dxa"/>
            <w:vAlign w:val="bottom"/>
            <w:gridSpan w:val="2"/>
          </w:tcPr>
          <w:p>
            <w:pPr>
              <w:jc w:val="right"/>
              <w:ind w:right="380"/>
              <w:spacing w:after="0" w:line="186"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Ending</w:t>
            </w:r>
          </w:p>
        </w:tc>
        <w:tc>
          <w:tcPr>
            <w:tcW w:w="100" w:type="dxa"/>
            <w:vAlign w:val="bottom"/>
          </w:tcPr>
          <w:p>
            <w:pPr>
              <w:spacing w:after="0"/>
              <w:rPr>
                <w:sz w:val="16"/>
                <w:szCs w:val="16"/>
                <w:color w:val="auto"/>
              </w:rPr>
            </w:pPr>
          </w:p>
        </w:tc>
      </w:tr>
      <w:tr>
        <w:trPr>
          <w:trHeight w:val="237"/>
        </w:trPr>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08"/>
        </w:trPr>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4"/>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(*1)</w:t>
            </w:r>
          </w:p>
        </w:tc>
        <w:tc>
          <w:tcPr>
            <w:tcW w:w="16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2,738,757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2,738,757</w:t>
            </w:r>
          </w:p>
        </w:tc>
        <w:tc>
          <w:tcPr>
            <w:tcW w:w="100" w:type="dxa"/>
            <w:vAlign w:val="bottom"/>
            <w:shd w:val="clear" w:color="auto" w:fill="CCEEFF"/>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Industrial property rights</w:t>
            </w:r>
          </w:p>
        </w:tc>
        <w:tc>
          <w:tcPr>
            <w:tcW w:w="16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(2,753)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(2,220)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w:t>
            </w: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Membership rights</w:t>
            </w:r>
          </w:p>
        </w:tc>
        <w:tc>
          <w:tcPr>
            <w:tcW w:w="16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537,535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537,535</w:t>
            </w:r>
          </w:p>
        </w:tc>
      </w:tr>
      <w:tr>
        <w:trPr>
          <w:trHeight w:val="22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619,192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105,146</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(241,441)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482,897</w:t>
            </w:r>
          </w:p>
        </w:tc>
      </w:tr>
      <w:tr>
        <w:trPr>
          <w:trHeight w:val="222"/>
        </w:trPr>
        <w:tc>
          <w:tcPr>
            <w:tcW w:w="44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3,902,572</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105,146</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(246,414</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3,761,304</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jc w:val="both"/>
        <w:ind w:left="460" w:hanging="459"/>
        <w:spacing w:after="0" w:line="259" w:lineRule="auto"/>
        <w:tabs>
          <w:tab w:leader="none" w:pos="440" w:val="left"/>
        </w:tabs>
        <w:rPr>
          <w:sz w:val="20"/>
          <w:szCs w:val="20"/>
          <w:color w:val="auto"/>
        </w:rPr>
      </w:pPr>
      <w:r>
        <w:rPr>
          <w:rFonts w:ascii="Times New Roman" w:cs="Times New Roman" w:eastAsia="Times New Roman" w:hAnsi="Times New Roman"/>
          <w:sz w:val="18"/>
          <w:szCs w:val="18"/>
          <w:color w:val="auto"/>
        </w:rPr>
        <w:t>(*1)</w:t>
        <w:tab/>
        <w:t>The Group performed impairment tests for the year ended December 31, 2025, and no impairment loss was recognized as the carrying amount did not exceed the recoverable amount.</w:t>
      </w:r>
    </w:p>
    <w:p>
      <w:pPr>
        <w:spacing w:after="0" w:line="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Amortization expense of Korean won 231,757 thousand is included in selling and administrative expenses (see Note 31).</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Impairment Test of Goodwill</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2025, the Group identified each subsidiary as a separate cash-generating unit and performed an impairment test. The recoverable amount of the cash-generating unit was determined based on value in use, which was calculated using estimated future cash flows derived from management’s business plans. The revenue growth rate, terminal growth rate and post-tax discount rate used for the significant cash-generating unit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Terminal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Post-tax</w:t>
            </w:r>
          </w:p>
        </w:tc>
      </w:tr>
      <w:tr>
        <w:trPr>
          <w:trHeight w:val="237"/>
        </w:trPr>
        <w:tc>
          <w:tcPr>
            <w:tcW w:w="3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Growth Rate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Growth 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Discount Rate</w:t>
            </w:r>
          </w:p>
        </w:tc>
      </w:tr>
      <w:tr>
        <w:trPr>
          <w:trHeight w:val="208"/>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Stickers Corporation Co., Ltd.</w:t>
            </w:r>
          </w:p>
        </w:tc>
        <w:tc>
          <w:tcPr>
            <w:tcW w:w="3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 ~ 38.8%</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9.94%</w:t>
            </w:r>
          </w:p>
        </w:tc>
        <w:tc>
          <w:tcPr>
            <w:tcW w:w="100" w:type="dxa"/>
            <w:vAlign w:val="bottom"/>
            <w:tcBorders>
              <w:top w:val="single" w:sz="8" w:color="CCEEFF"/>
            </w:tcBorders>
            <w:shd w:val="clear" w:color="auto" w:fill="CCEEFF"/>
          </w:tcPr>
          <w:p>
            <w:pPr>
              <w:spacing w:after="0"/>
              <w:rPr>
                <w:sz w:val="18"/>
                <w:szCs w:val="18"/>
                <w:color w:val="auto"/>
              </w:rPr>
            </w:pPr>
          </w:p>
        </w:tc>
      </w:tr>
      <w:tr>
        <w:trPr>
          <w:trHeight w:val="557"/>
        </w:trPr>
        <w:tc>
          <w:tcPr>
            <w:tcW w:w="38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ind w:right="1511"/>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Sensitivity analysis of value in use to changes in key assumptions is as follows:</w:t>
            </w: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7"/>
        </w:trPr>
        <w:tc>
          <w:tcPr>
            <w:tcW w:w="7300" w:type="dxa"/>
            <w:vAlign w:val="bottom"/>
          </w:tcPr>
          <w:p>
            <w:pPr>
              <w:spacing w:after="0"/>
              <w:rPr>
                <w:sz w:val="24"/>
                <w:szCs w:val="24"/>
                <w:color w:val="auto"/>
              </w:rPr>
            </w:pPr>
          </w:p>
        </w:tc>
        <w:tc>
          <w:tcPr>
            <w:tcW w:w="138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3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Increase in</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Decrease in</w:t>
            </w:r>
          </w:p>
        </w:tc>
      </w:tr>
      <w:tr>
        <w:trPr>
          <w:trHeight w:val="237"/>
        </w:trPr>
        <w:tc>
          <w:tcPr>
            <w:tcW w:w="7300" w:type="dxa"/>
            <w:vAlign w:val="bottom"/>
          </w:tcPr>
          <w:p>
            <w:pPr>
              <w:spacing w:after="0"/>
              <w:rPr>
                <w:sz w:val="20"/>
                <w:szCs w:val="20"/>
                <w:color w:val="auto"/>
              </w:rPr>
            </w:pPr>
          </w:p>
        </w:tc>
        <w:tc>
          <w:tcPr>
            <w:tcW w:w="13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Assumption</w:t>
            </w:r>
          </w:p>
        </w:tc>
      </w:tr>
      <w:tr>
        <w:trPr>
          <w:trHeight w:val="208"/>
        </w:trPr>
        <w:tc>
          <w:tcPr>
            <w:tcW w:w="7300" w:type="dxa"/>
            <w:vAlign w:val="bottom"/>
          </w:tcPr>
          <w:p>
            <w:pPr>
              <w:spacing w:after="0"/>
              <w:rPr>
                <w:sz w:val="18"/>
                <w:szCs w:val="18"/>
                <w:color w:val="auto"/>
              </w:rPr>
            </w:pPr>
          </w:p>
        </w:tc>
        <w:tc>
          <w:tcPr>
            <w:tcW w:w="3840" w:type="dxa"/>
            <w:vAlign w:val="bottom"/>
            <w:tcBorders>
              <w:top w:val="single" w:sz="8" w:color="auto"/>
            </w:tcBorders>
            <w:gridSpan w:val="3"/>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0" w:type="dxa"/>
            <w:vAlign w:val="bottom"/>
          </w:tcPr>
          <w:p>
            <w:pPr>
              <w:spacing w:after="0"/>
              <w:rPr>
                <w:sz w:val="18"/>
                <w:szCs w:val="18"/>
                <w:color w:val="auto"/>
              </w:rPr>
            </w:pPr>
          </w:p>
        </w:tc>
      </w:tr>
      <w:tr>
        <w:trPr>
          <w:trHeight w:val="215"/>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(579,969)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726,099</w:t>
            </w:r>
          </w:p>
        </w:tc>
      </w:tr>
      <w:tr>
        <w:trPr>
          <w:trHeight w:val="215"/>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growth rate</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788,835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(630,079)</w:t>
            </w:r>
          </w:p>
        </w:tc>
      </w:tr>
      <w:tr>
        <w:trPr>
          <w:trHeight w:val="215"/>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growth rate</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664,575</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(657,412)</w:t>
            </w: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Impairment Test of Membership Rights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Membership rights are intangible assets with indefinite useful lives and are not amortized. Instead, they are tested for impairment annually, irrespective of whether there is any indication of impairment. No impairment loss was recognized for the year ended December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Trade and other payables</w:t>
            </w:r>
          </w:p>
        </w:tc>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Details of trade and other payables as of December 31, 2025 are as follows:</w:t>
            </w: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790,271</w:t>
            </w:r>
          </w:p>
        </w:tc>
        <w:tc>
          <w:tcPr>
            <w:tcW w:w="0" w:type="dxa"/>
            <w:vAlign w:val="bottom"/>
          </w:tcPr>
          <w:p>
            <w:pPr>
              <w:spacing w:after="0"/>
              <w:rPr>
                <w:sz w:val="1"/>
                <w:szCs w:val="1"/>
                <w:color w:val="auto"/>
              </w:rPr>
            </w:pPr>
          </w:p>
        </w:tc>
      </w:tr>
      <w:tr>
        <w:trPr>
          <w:trHeight w:val="21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8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Pr>
          <w:p>
            <w:pPr>
              <w:ind w:left="2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9,725,482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Short-term borrowings</w:t>
            </w:r>
          </w:p>
        </w:tc>
        <w:tc>
          <w:tcPr>
            <w:tcW w:w="2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58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Details of short-term borrowings</w:t>
            </w: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Details of short-term borrowings as of December 31, 2025 are as follows:</w:t>
            </w: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finance liabilities</w:t>
            </w:r>
          </w:p>
        </w:tc>
        <w:tc>
          <w:tcPr>
            <w:tcW w:w="24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ind w:left="5540" w:right="1860" w:hanging="5533"/>
        <w:spacing w:after="0" w:line="653" w:lineRule="auto"/>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finance liabilities are short-term in nature, and their carrying amounts are considered to approximate their fair values.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Supplier finance arrangement liabilities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 has entered into supplier finance arrangements with financial institutions and renews the contractual terms annually. Under these arrangements, the financial institutions obtain rights to certain trade receivables from suppliers. The arrangements modify the payment terms as follows, while all other terms remain consistent with those of trade payables to the respective suppliers.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866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08"/>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finance liabilities</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180 days from invoice issuance</w:t>
            </w:r>
          </w:p>
        </w:tc>
        <w:tc>
          <w:tcPr>
            <w:tcW w:w="100" w:type="dxa"/>
            <w:vAlign w:val="bottom"/>
            <w:shd w:val="clear" w:color="auto" w:fill="CCEEFF"/>
          </w:tcPr>
          <w:p>
            <w:pPr>
              <w:spacing w:after="0"/>
              <w:rPr>
                <w:sz w:val="18"/>
                <w:szCs w:val="18"/>
                <w:color w:val="auto"/>
              </w:rPr>
            </w:pPr>
          </w:p>
        </w:tc>
      </w:tr>
      <w:tr>
        <w:trPr>
          <w:trHeight w:val="23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not part of supplier finance arrangements (same business)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30 days from invoice issuance</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supplier finance arrangements entered into by the Group with financial institutions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Institution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Credit Limit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Drawn</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08"/>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Shinhan Bank</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USANCE</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2026-05-15</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   3,000,000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 Contract Assets and Contract Liabilities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Details of contract assets and liabilities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contract assets and contract liabilities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Contract Assets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Contract Liabilities</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1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gridSpan w:val="7"/>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AI-based Digital</w:t>
            </w:r>
          </w:p>
        </w:tc>
        <w:tc>
          <w:tcPr>
            <w:tcW w:w="1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Construction-type</w:t>
            </w:r>
          </w:p>
        </w:tc>
        <w:tc>
          <w:tcPr>
            <w:tcW w:w="4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Contact Center</w:t>
            </w: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4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2,542,405</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2,542,405</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1,822,846</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1,822,846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AI-based Digital</w:t>
            </w:r>
          </w:p>
        </w:tc>
        <w:tc>
          <w:tcPr>
            <w:tcW w:w="140" w:type="dxa"/>
            <w:vAlign w:val="bottom"/>
          </w:tcPr>
          <w:p>
            <w:pPr>
              <w:spacing w:after="0"/>
              <w:rPr>
                <w:sz w:val="17"/>
                <w:szCs w:val="17"/>
                <w:color w:val="auto"/>
              </w:rPr>
            </w:pPr>
          </w:p>
        </w:tc>
        <w:tc>
          <w:tcPr>
            <w:tcW w:w="17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Maintenance and</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Contact Center</w:t>
            </w:r>
          </w:p>
        </w:tc>
        <w:tc>
          <w:tcPr>
            <w:tcW w:w="1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1,272,881</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1,272,881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2,839,735</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794,733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3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Subtotal</w:t>
            </w:r>
          </w:p>
        </w:tc>
        <w:tc>
          <w:tcPr>
            <w:tcW w:w="4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3,815,286</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4,662,581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Pet Healthcare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w:t>
            </w:r>
          </w:p>
        </w:tc>
        <w:tc>
          <w:tcPr>
            <w:tcW w:w="1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Content services</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66,432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122,961</w:t>
            </w:r>
          </w:p>
        </w:tc>
        <w:tc>
          <w:tcPr>
            <w:tcW w:w="0" w:type="dxa"/>
            <w:vAlign w:val="bottom"/>
          </w:tcPr>
          <w:p>
            <w:pPr>
              <w:spacing w:after="0"/>
              <w:rPr>
                <w:sz w:val="1"/>
                <w:szCs w:val="1"/>
                <w:color w:val="auto"/>
              </w:rPr>
            </w:pPr>
          </w:p>
        </w:tc>
      </w:tr>
      <w:tr>
        <w:trPr>
          <w:trHeight w:val="222"/>
        </w:trPr>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4,719,110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estimates for contracts in progress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contracts in progress to which the cost-based input method is applied for revenue recognition over time, changes in estimates of total contract revenue and total contract costs during the year ended December 31, 2025, and the effects of such changes on profit or loss for the year ended December 31, 2025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15"/>
        </w:trPr>
        <w:tc>
          <w:tcPr>
            <w:tcW w:w="598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5"/>
        </w:trPr>
        <w:tc>
          <w:tcPr>
            <w:tcW w:w="598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7"/>
        </w:trPr>
        <w:tc>
          <w:tcPr>
            <w:tcW w:w="5980" w:type="dxa"/>
            <w:vAlign w:val="bottom"/>
          </w:tcPr>
          <w:p>
            <w:pPr>
              <w:spacing w:after="0"/>
              <w:rPr>
                <w:sz w:val="20"/>
                <w:szCs w:val="20"/>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08"/>
        </w:trPr>
        <w:tc>
          <w:tcPr>
            <w:tcW w:w="5980" w:type="dxa"/>
            <w:vAlign w:val="bottom"/>
          </w:tcPr>
          <w:p>
            <w:pPr>
              <w:spacing w:after="0"/>
              <w:rPr>
                <w:sz w:val="18"/>
                <w:szCs w:val="18"/>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52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Cost</w:t>
            </w:r>
          </w:p>
        </w:tc>
      </w:tr>
      <w:tr>
        <w:trPr>
          <w:trHeight w:val="208"/>
        </w:trPr>
        <w:tc>
          <w:tcPr>
            <w:tcW w:w="59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AI-based Digital Contact Center</w:t>
            </w: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(65,729)</w:t>
            </w:r>
          </w:p>
        </w:tc>
        <w:tc>
          <w:tcPr>
            <w:tcW w:w="1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318,703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(388,819)</w:t>
            </w: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Major contracts in progress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Contracts in progress to which the cost-based input method is applied for revenue recognition over time and whose contract amounts exceed 5% of revenue for the prior period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2820" w:type="dxa"/>
            <w:vAlign w:val="bottom"/>
          </w:tcPr>
          <w:p>
            <w:pPr>
              <w:spacing w:after="0"/>
              <w:rPr>
                <w:sz w:val="16"/>
                <w:szCs w:val="16"/>
                <w:color w:val="auto"/>
              </w:rPr>
            </w:pPr>
          </w:p>
        </w:tc>
        <w:tc>
          <w:tcPr>
            <w:tcW w:w="1400" w:type="dxa"/>
            <w:vAlign w:val="bottom"/>
          </w:tcPr>
          <w:p>
            <w:pPr>
              <w:jc w:val="right"/>
              <w:ind w:right="391"/>
              <w:spacing w:after="0" w:line="186" w:lineRule="exact"/>
              <w:rPr>
                <w:sz w:val="20"/>
                <w:szCs w:val="20"/>
                <w:color w:val="auto"/>
              </w:rPr>
            </w:pPr>
            <w:r>
              <w:rPr>
                <w:rFonts w:ascii="Times New Roman" w:cs="Times New Roman" w:eastAsia="Times New Roman" w:hAnsi="Times New Roman"/>
                <w:sz w:val="18"/>
                <w:szCs w:val="18"/>
                <w:b w:val="1"/>
                <w:bCs w:val="1"/>
                <w:color w:val="auto"/>
              </w:rPr>
              <w:t>Contract</w:t>
            </w:r>
          </w:p>
        </w:tc>
        <w:tc>
          <w:tcPr>
            <w:tcW w:w="13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Contract</w:t>
            </w:r>
          </w:p>
        </w:tc>
        <w:tc>
          <w:tcPr>
            <w:tcW w:w="17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Project</w:t>
            </w:r>
          </w:p>
        </w:tc>
        <w:tc>
          <w:tcPr>
            <w:tcW w:w="1420" w:type="dxa"/>
            <w:vAlign w:val="bottom"/>
          </w:tcPr>
          <w:p>
            <w:pPr>
              <w:spacing w:after="0"/>
              <w:rPr>
                <w:sz w:val="16"/>
                <w:szCs w:val="16"/>
                <w:color w:val="auto"/>
              </w:rPr>
            </w:pPr>
          </w:p>
        </w:tc>
        <w:tc>
          <w:tcPr>
            <w:tcW w:w="1260" w:type="dxa"/>
            <w:vAlign w:val="bottom"/>
          </w:tcPr>
          <w:p>
            <w:pPr>
              <w:jc w:val="right"/>
              <w:ind w:right="271"/>
              <w:spacing w:after="0" w:line="186" w:lineRule="exact"/>
              <w:rPr>
                <w:sz w:val="20"/>
                <w:szCs w:val="20"/>
                <w:color w:val="auto"/>
              </w:rPr>
            </w:pPr>
            <w:r>
              <w:rPr>
                <w:rFonts w:ascii="Times New Roman" w:cs="Times New Roman" w:eastAsia="Times New Roman" w:hAnsi="Times New Roman"/>
                <w:sz w:val="18"/>
                <w:szCs w:val="18"/>
                <w:b w:val="1"/>
                <w:bCs w:val="1"/>
                <w:color w:val="auto"/>
              </w:rPr>
              <w:t>Contract</w:t>
            </w:r>
          </w:p>
        </w:tc>
        <w:tc>
          <w:tcPr>
            <w:tcW w:w="11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Trade</w:t>
            </w:r>
          </w:p>
        </w:tc>
        <w:tc>
          <w:tcPr>
            <w:tcW w:w="100" w:type="dxa"/>
            <w:vAlign w:val="bottom"/>
          </w:tcPr>
          <w:p>
            <w:pPr>
              <w:spacing w:after="0"/>
              <w:rPr>
                <w:sz w:val="16"/>
                <w:szCs w:val="16"/>
                <w:color w:val="auto"/>
              </w:rPr>
            </w:pPr>
          </w:p>
        </w:tc>
      </w:tr>
      <w:tr>
        <w:trPr>
          <w:trHeight w:val="237"/>
        </w:trPr>
        <w:tc>
          <w:tcPr>
            <w:tcW w:w="2820" w:type="dxa"/>
            <w:vAlign w:val="bottom"/>
          </w:tcPr>
          <w:p>
            <w:pPr>
              <w:spacing w:after="0"/>
              <w:rPr>
                <w:sz w:val="20"/>
                <w:szCs w:val="20"/>
                <w:color w:val="auto"/>
              </w:rPr>
            </w:pPr>
          </w:p>
        </w:tc>
        <w:tc>
          <w:tcPr>
            <w:tcW w:w="14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Progress (%)</w:t>
            </w:r>
          </w:p>
        </w:tc>
        <w:tc>
          <w:tcPr>
            <w:tcW w:w="126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r>
      <w:tr>
        <w:trPr>
          <w:trHeight w:val="208"/>
        </w:trPr>
        <w:tc>
          <w:tcPr>
            <w:tcW w:w="28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gridSpan w:val="2"/>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Mirae Asset Securities / IPT and</w:t>
            </w: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2024-07-01 ~</w:t>
            </w:r>
          </w:p>
        </w:tc>
        <w:tc>
          <w:tcPr>
            <w:tcW w:w="1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IPCC reconstruction</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6,117,500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2024-07-01</w:t>
            </w:r>
          </w:p>
        </w:tc>
        <w:tc>
          <w:tcPr>
            <w:tcW w:w="17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2025-09-30</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r>
        <w:trPr>
          <w:trHeight w:val="196"/>
        </w:trPr>
        <w:tc>
          <w:tcPr>
            <w:tcW w:w="2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Shinhan Financial Plus / TM Center</w:t>
            </w: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2025-01-02 ~</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integration</w:t>
            </w: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8,041,588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2025-01-02</w:t>
            </w:r>
          </w:p>
        </w:tc>
        <w:tc>
          <w:tcPr>
            <w:tcW w:w="1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2026-06-30</w:t>
            </w: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862,268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1,491,341</w:t>
            </w:r>
          </w:p>
        </w:tc>
        <w:tc>
          <w:tcPr>
            <w:tcW w:w="100" w:type="dxa"/>
            <w:vAlign w:val="bottom"/>
          </w:tcPr>
          <w:p>
            <w:pPr>
              <w:spacing w:after="0"/>
              <w:rPr>
                <w:sz w:val="20"/>
                <w:szCs w:val="20"/>
                <w:color w:val="auto"/>
              </w:rPr>
            </w:pPr>
          </w:p>
        </w:tc>
      </w:tr>
      <w:tr>
        <w:trPr>
          <w:trHeight w:val="196"/>
        </w:trPr>
        <w:tc>
          <w:tcPr>
            <w:tcW w:w="2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NS Home Shopping / AICC</w:t>
            </w: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2024-09-09 ~</w:t>
            </w:r>
          </w:p>
        </w:tc>
        <w:tc>
          <w:tcPr>
            <w:tcW w:w="1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enhancement</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2,875,001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2024-09-09</w:t>
            </w:r>
          </w:p>
        </w:tc>
        <w:tc>
          <w:tcPr>
            <w:tcW w:w="17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2025-07-31</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r>
        <w:trPr>
          <w:trHeight w:val="196"/>
        </w:trPr>
        <w:tc>
          <w:tcPr>
            <w:tcW w:w="2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 Corporation / IPCC enhancement</w:t>
            </w: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2025-04-07 ~</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2820" w:type="dxa"/>
            <w:vAlign w:val="bottom"/>
          </w:tcPr>
          <w:p>
            <w:pPr>
              <w:spacing w:after="0"/>
              <w:rPr>
                <w:sz w:val="20"/>
                <w:szCs w:val="20"/>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2,590,620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2025-04-07</w:t>
            </w:r>
          </w:p>
        </w:tc>
        <w:tc>
          <w:tcPr>
            <w:tcW w:w="1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2025-11-28</w:t>
            </w: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2,668,710</w:t>
            </w:r>
          </w:p>
        </w:tc>
        <w:tc>
          <w:tcPr>
            <w:tcW w:w="100" w:type="dxa"/>
            <w:vAlign w:val="bottom"/>
          </w:tcPr>
          <w:p>
            <w:pPr>
              <w:spacing w:after="0"/>
              <w:rPr>
                <w:sz w:val="20"/>
                <w:szCs w:val="20"/>
                <w:color w:val="auto"/>
              </w:rPr>
            </w:pP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Revenue recognized from contract liabilities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for the year ended December 31, 2025 that was included in the contract liability balance at the beginning of the period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376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376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37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376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Construction-type contracts</w:t>
            </w:r>
          </w:p>
        </w:tc>
        <w:tc>
          <w:tcPr>
            <w:tcW w:w="6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2,669,399</w:t>
            </w:r>
          </w:p>
        </w:tc>
        <w:tc>
          <w:tcPr>
            <w:tcW w:w="100" w:type="dxa"/>
            <w:vAlign w:val="bottom"/>
            <w:shd w:val="clear" w:color="auto" w:fill="CCEEFF"/>
          </w:tcPr>
          <w:p>
            <w:pPr>
              <w:spacing w:after="0"/>
              <w:rPr>
                <w:sz w:val="18"/>
                <w:szCs w:val="18"/>
                <w:color w:val="auto"/>
              </w:rPr>
            </w:pPr>
          </w:p>
        </w:tc>
      </w:tr>
      <w:tr>
        <w:trPr>
          <w:trHeight w:val="23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others</w:t>
            </w:r>
          </w:p>
        </w:tc>
        <w:tc>
          <w:tcPr>
            <w:tcW w:w="6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2,908,593</w:t>
            </w:r>
          </w:p>
        </w:tc>
        <w:tc>
          <w:tcPr>
            <w:tcW w:w="100" w:type="dxa"/>
            <w:vAlign w:val="bottom"/>
          </w:tcPr>
          <w:p>
            <w:pPr>
              <w:spacing w:after="0"/>
              <w:rPr>
                <w:sz w:val="20"/>
                <w:szCs w:val="20"/>
                <w:color w:val="auto"/>
              </w:rPr>
            </w:pPr>
          </w:p>
        </w:tc>
      </w:tr>
      <w:tr>
        <w:trPr>
          <w:trHeight w:val="538"/>
        </w:trPr>
        <w:tc>
          <w:tcPr>
            <w:tcW w:w="37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jc w:val="right"/>
              <w:ind w:right="4211"/>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Contract fulfillment costs recognized as assets</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In addition to the contract balances disclosed above, the Group has recognized assets for costs incurred to fulfill project contracts. These are presented as other assets in the statement of financial position.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6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66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6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6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fulfillment costs recognized as assets (*)</w:t>
            </w:r>
          </w:p>
        </w:tc>
        <w:tc>
          <w:tcPr>
            <w:tcW w:w="336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4,555,213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ind w:left="320" w:hanging="313"/>
        <w:spacing w:after="0" w:line="279" w:lineRule="auto"/>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contract fulfillment costs represent only the costs directly attributable to the Group’s subscription-based projects, which have been classified from prepaid expenses.</w:t>
      </w:r>
    </w:p>
    <w:p>
      <w:pPr>
        <w:spacing w:after="0" w:line="159" w:lineRule="exact"/>
        <w:rPr>
          <w:sz w:val="20"/>
          <w:szCs w:val="20"/>
          <w:color w:val="auto"/>
        </w:rPr>
      </w:pPr>
    </w:p>
    <w:p>
      <w:pPr>
        <w:ind w:left="320" w:hanging="313"/>
        <w:spacing w:after="0"/>
        <w:tabs>
          <w:tab w:leader="none" w:pos="3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Remaining performance obligations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aggregate amount of the transaction price allocated to performance obligations that are unsatisfied or partially unsatisfied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for long-term contracts with fixed prices: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7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7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7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7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price allocated to remaining performance obligations</w:t>
            </w:r>
          </w:p>
        </w:tc>
        <w:tc>
          <w:tcPr>
            <w:tcW w:w="282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19,909,003</w:t>
            </w:r>
          </w:p>
        </w:tc>
      </w:tr>
    </w:tbl>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All other long-term service contracts have original expected durations of one year or less and are billed based on time incurred. In accordance with the practical expedient in IFRS 15, the transaction price allocated to the remaining performance obligations for such contracts has not been disclosed.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Lease amounts recognized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statement of financial position in relation to leases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Buildings</w:t>
            </w:r>
          </w:p>
        </w:tc>
        <w:tc>
          <w:tcPr>
            <w:tcW w:w="4760" w:type="dxa"/>
            <w:vAlign w:val="bottom"/>
          </w:tcPr>
          <w:p>
            <w:pPr>
              <w:ind w:left="4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989,956</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Vehicles</w:t>
            </w:r>
          </w:p>
        </w:tc>
        <w:tc>
          <w:tcPr>
            <w:tcW w:w="4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53,864</w:t>
            </w:r>
          </w:p>
        </w:tc>
        <w:tc>
          <w:tcPr>
            <w:tcW w:w="0" w:type="dxa"/>
            <w:vAlign w:val="bottom"/>
          </w:tcPr>
          <w:p>
            <w:pPr>
              <w:spacing w:after="0"/>
              <w:rPr>
                <w:sz w:val="1"/>
                <w:szCs w:val="1"/>
                <w:color w:val="auto"/>
              </w:rPr>
            </w:pPr>
          </w:p>
        </w:tc>
      </w:tr>
      <w:tr>
        <w:trPr>
          <w:trHeight w:val="215"/>
        </w:trPr>
        <w:tc>
          <w:tcPr>
            <w:tcW w:w="526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47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769,707</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Non-current</w:t>
            </w:r>
          </w:p>
        </w:tc>
        <w:tc>
          <w:tcPr>
            <w:tcW w:w="4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272,137</w:t>
            </w:r>
          </w:p>
        </w:tc>
        <w:tc>
          <w:tcPr>
            <w:tcW w:w="0" w:type="dxa"/>
            <w:vAlign w:val="bottom"/>
          </w:tcPr>
          <w:p>
            <w:pPr>
              <w:spacing w:after="0"/>
              <w:rPr>
                <w:sz w:val="1"/>
                <w:szCs w:val="1"/>
                <w:color w:val="auto"/>
              </w:rPr>
            </w:pPr>
          </w:p>
        </w:tc>
      </w:tr>
      <w:tr>
        <w:trPr>
          <w:trHeight w:val="222"/>
        </w:trPr>
        <w:tc>
          <w:tcPr>
            <w:tcW w:w="526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Pr>
          <w:p>
            <w:pPr>
              <w:ind w:left="44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760" w:type="dxa"/>
            <w:vAlign w:val="bottom"/>
            <w:vMerge w:val="restart"/>
          </w:tcPr>
          <w:p>
            <w:pPr>
              <w:jc w:val="right"/>
              <w:ind w:right="4211"/>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52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right-of-use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right-of-use assets for the year ended December 31,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9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4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20" w:type="dxa"/>
            <w:vAlign w:val="bottom"/>
            <w:gridSpan w:val="2"/>
          </w:tcPr>
          <w:p>
            <w:pPr>
              <w:jc w:val="right"/>
              <w:ind w:right="380"/>
              <w:spacing w:after="0" w:line="186"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ind w:left="280"/>
              <w:spacing w:after="0" w:line="186" w:lineRule="exact"/>
              <w:rPr>
                <w:sz w:val="20"/>
                <w:szCs w:val="20"/>
                <w:color w:val="auto"/>
              </w:rPr>
            </w:pPr>
            <w:r>
              <w:rPr>
                <w:rFonts w:ascii="Times New Roman" w:cs="Times New Roman" w:eastAsia="Times New Roman" w:hAnsi="Times New Roman"/>
                <w:sz w:val="18"/>
                <w:szCs w:val="18"/>
                <w:b w:val="1"/>
                <w:bCs w:val="1"/>
                <w:color w:val="auto"/>
              </w:rPr>
              <w:t>Ending</w:t>
            </w:r>
          </w:p>
        </w:tc>
        <w:tc>
          <w:tcPr>
            <w:tcW w:w="100" w:type="dxa"/>
            <w:vAlign w:val="bottom"/>
          </w:tcPr>
          <w:p>
            <w:pPr>
              <w:spacing w:after="0"/>
              <w:rPr>
                <w:sz w:val="16"/>
                <w:szCs w:val="16"/>
                <w:color w:val="auto"/>
              </w:rPr>
            </w:pPr>
          </w:p>
        </w:tc>
      </w:tr>
      <w:tr>
        <w:trPr>
          <w:trHeight w:val="237"/>
        </w:trPr>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20" w:type="dxa"/>
            <w:vAlign w:val="bottom"/>
            <w:tcBorders>
              <w:bottom w:val="single" w:sz="8" w:color="auto"/>
            </w:tcBorders>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8"/>
        </w:trPr>
        <w:tc>
          <w:tcPr>
            <w:tcW w:w="4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6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417,064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1,437,287</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(864,395)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989,956</w:t>
            </w: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6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24,104</w:t>
            </w: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(35,649)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53,864</w:t>
            </w:r>
          </w:p>
        </w:tc>
      </w:tr>
      <w:tr>
        <w:trPr>
          <w:trHeight w:val="222"/>
        </w:trPr>
        <w:tc>
          <w:tcPr>
            <w:tcW w:w="4420" w:type="dxa"/>
            <w:vAlign w:val="bottom"/>
            <w:tcBorders>
              <w:top w:val="single" w:sz="8" w:color="CCEEFF"/>
              <w:bottom w:val="single" w:sz="8" w:color="CCEEFF"/>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CCEEFF"/>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(900,044</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C.</w:t>
        <w:tab/>
        <w:t>Changes in lease liabilities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lease liabilities for the year ended December 31,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2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300"/>
              <w:spacing w:after="0" w:line="186"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60"/>
              <w:spacing w:after="0" w:line="186"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80"/>
              <w:spacing w:after="0" w:line="186" w:lineRule="exact"/>
              <w:rPr>
                <w:sz w:val="20"/>
                <w:szCs w:val="20"/>
                <w:color w:val="auto"/>
              </w:rPr>
            </w:pPr>
            <w:r>
              <w:rPr>
                <w:rFonts w:ascii="Times New Roman" w:cs="Times New Roman" w:eastAsia="Times New Roman" w:hAnsi="Times New Roman"/>
                <w:sz w:val="18"/>
                <w:szCs w:val="18"/>
                <w:b w:val="1"/>
                <w:bCs w:val="1"/>
                <w:color w:val="auto"/>
              </w:rPr>
              <w:t>Ending</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6"/>
                <w:szCs w:val="16"/>
                <w:color w:val="auto"/>
              </w:rPr>
            </w:pPr>
          </w:p>
        </w:tc>
      </w:tr>
      <w:tr>
        <w:trPr>
          <w:trHeight w:val="237"/>
        </w:trPr>
        <w:tc>
          <w:tcPr>
            <w:tcW w:w="2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00" w:type="dxa"/>
            <w:vAlign w:val="bottom"/>
            <w:tcBorders>
              <w:bottom w:val="single" w:sz="8" w:color="auto"/>
            </w:tcBorders>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current</w:t>
            </w:r>
          </w:p>
        </w:tc>
      </w:tr>
      <w:tr>
        <w:trPr>
          <w:trHeight w:val="208"/>
        </w:trPr>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379,207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1,413,677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49,021</w:t>
            </w:r>
          </w:p>
        </w:tc>
        <w:tc>
          <w:tcPr>
            <w:tcW w:w="11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(855,446)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986,459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742,448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244,011</w:t>
            </w:r>
          </w:p>
        </w:tc>
      </w:tr>
      <w:tr>
        <w:trPr>
          <w:trHeight w:val="21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0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66,977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24,104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0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(39,052)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55,385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27,259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28,126</w:t>
            </w:r>
          </w:p>
        </w:tc>
      </w:tr>
      <w:tr>
        <w:trPr>
          <w:trHeight w:val="222"/>
        </w:trPr>
        <w:tc>
          <w:tcPr>
            <w:tcW w:w="2580" w:type="dxa"/>
            <w:vAlign w:val="bottom"/>
            <w:tcBorders>
              <w:top w:val="single" w:sz="8" w:color="CCEEFF"/>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(894,498</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Lease-related expenses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relating to short-term leases and leases of low-value assets for the year ended December 31,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4760" w:type="dxa"/>
            <w:vAlign w:val="bottom"/>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47,086</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Low-value asset lease expenses</w:t>
            </w:r>
          </w:p>
        </w:tc>
        <w:tc>
          <w:tcPr>
            <w:tcW w:w="47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22,532</w:t>
            </w:r>
          </w:p>
        </w:tc>
        <w:tc>
          <w:tcPr>
            <w:tcW w:w="0" w:type="dxa"/>
            <w:vAlign w:val="bottom"/>
          </w:tcPr>
          <w:p>
            <w:pPr>
              <w:spacing w:after="0"/>
              <w:rPr>
                <w:sz w:val="1"/>
                <w:szCs w:val="1"/>
                <w:color w:val="auto"/>
              </w:rPr>
            </w:pPr>
          </w:p>
        </w:tc>
      </w:tr>
      <w:tr>
        <w:trPr>
          <w:trHeight w:val="222"/>
        </w:trPr>
        <w:tc>
          <w:tcPr>
            <w:tcW w:w="5260" w:type="dxa"/>
            <w:vAlign w:val="bottom"/>
            <w:tcBorders>
              <w:top w:val="single" w:sz="8" w:color="CCEEFF"/>
              <w:bottom w:val="single" w:sz="8" w:color="CCEEFF"/>
            </w:tcBorders>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Borders>
              <w:top w:val="single" w:sz="8" w:color="CCEEFF"/>
              <w:bottom w:val="single" w:sz="8" w:color="CCEEFF"/>
            </w:tcBorders>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760" w:type="dxa"/>
            <w:vAlign w:val="bottom"/>
            <w:vMerge w:val="restart"/>
          </w:tcPr>
          <w:p>
            <w:pPr>
              <w:jc w:val="right"/>
              <w:ind w:right="4211"/>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52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Cash outflows for leases</w:t>
      </w:r>
    </w:p>
    <w:p>
      <w:pPr>
        <w:sectPr>
          <w:pgSz w:w="11900" w:h="16838" w:orient="portrait"/>
          <w:cols w:equalWidth="0" w:num="1">
            <w:col w:w="11240"/>
          </w:cols>
          <w:pgMar w:left="320" w:top="761" w:right="339" w:bottom="1440" w:gutter="0" w:footer="0" w:header="0"/>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cash outflows related to leases for the year ended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paid on lease liabilities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Low-value asset lease expenses</w:t>
      </w:r>
    </w:p>
    <w:p>
      <w:pPr>
        <w:spacing w:after="0" w:line="8" w:lineRule="exact"/>
        <w:rPr>
          <w:sz w:val="20"/>
          <w:szCs w:val="20"/>
          <w:color w:val="auto"/>
        </w:rPr>
      </w:pPr>
    </w:p>
    <w:p>
      <w:pPr>
        <w:jc w:val="center"/>
        <w:ind w:left="783"/>
        <w:spacing w:after="0"/>
        <w:rPr>
          <w:sz w:val="20"/>
          <w:szCs w:val="20"/>
          <w:color w:val="auto"/>
        </w:rPr>
      </w:pPr>
      <w:r>
        <w:rPr>
          <w:rFonts w:ascii="Times New Roman" w:cs="Times New Roman" w:eastAsia="Times New Roman" w:hAnsi="Times New Roman"/>
          <w:sz w:val="18"/>
          <w:szCs w:val="18"/>
          <w:color w:val="auto"/>
        </w:rPr>
        <w:t>Total</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Defined Benefit Liability</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Defined Benefit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19050</wp:posOffset>
            </wp:positionV>
            <wp:extent cx="7073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10" w:lineRule="exact"/>
        <w:rPr>
          <w:sz w:val="20"/>
          <w:szCs w:val="20"/>
          <w:color w:val="auto"/>
        </w:rPr>
      </w:pPr>
    </w:p>
    <w:p>
      <w:pPr>
        <w:ind w:left="323"/>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8"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2" w:lineRule="exact"/>
        <w:rPr>
          <w:sz w:val="20"/>
          <w:szCs w:val="20"/>
          <w:color w:val="auto"/>
        </w:rPr>
      </w:pPr>
    </w:p>
    <w:p>
      <w:pPr>
        <w:ind w:left="823" w:hanging="823"/>
        <w:spacing w:after="0"/>
        <w:tabs>
          <w:tab w:leader="none" w:pos="823" w:val="left"/>
        </w:tabs>
        <w:numPr>
          <w:ilvl w:val="0"/>
          <w:numId w:val="57"/>
        </w:numPr>
        <w:rPr>
          <w:rFonts w:ascii="Arial" w:cs="Arial" w:eastAsia="Arial" w:hAnsi="Arial"/>
          <w:sz w:val="17"/>
          <w:szCs w:val="17"/>
          <w:color w:val="auto"/>
        </w:rPr>
      </w:pPr>
      <w:r>
        <w:rPr>
          <w:rFonts w:ascii="Times New Roman" w:cs="Times New Roman" w:eastAsia="Times New Roman" w:hAnsi="Times New Roman"/>
          <w:sz w:val="17"/>
          <w:szCs w:val="17"/>
          <w:color w:val="auto"/>
        </w:rPr>
        <w:t>806,425</w:t>
      </w:r>
    </w:p>
    <w:p>
      <w:pPr>
        <w:spacing w:after="0" w:line="25" w:lineRule="exact"/>
        <w:rPr>
          <w:rFonts w:ascii="Arial" w:cs="Arial" w:eastAsia="Arial" w:hAnsi="Arial"/>
          <w:sz w:val="17"/>
          <w:szCs w:val="17"/>
          <w:color w:val="auto"/>
        </w:rPr>
      </w:pPr>
    </w:p>
    <w:p>
      <w:pPr>
        <w:ind w:left="903"/>
        <w:spacing w:after="0"/>
        <w:rPr>
          <w:rFonts w:ascii="Arial" w:cs="Arial" w:eastAsia="Arial" w:hAnsi="Arial"/>
          <w:sz w:val="17"/>
          <w:szCs w:val="17"/>
          <w:color w:val="auto"/>
        </w:rPr>
      </w:pPr>
      <w:r>
        <w:rPr>
          <w:rFonts w:ascii="Times New Roman" w:cs="Times New Roman" w:eastAsia="Times New Roman" w:hAnsi="Times New Roman"/>
          <w:sz w:val="18"/>
          <w:szCs w:val="18"/>
          <w:color w:val="auto"/>
        </w:rPr>
        <w:t>35,696</w:t>
      </w:r>
    </w:p>
    <w:p>
      <w:pPr>
        <w:spacing w:after="0" w:line="6" w:lineRule="exact"/>
        <w:rPr>
          <w:rFonts w:ascii="Arial" w:cs="Arial" w:eastAsia="Arial" w:hAnsi="Arial"/>
          <w:sz w:val="17"/>
          <w:szCs w:val="17"/>
          <w:color w:val="auto"/>
        </w:rPr>
      </w:pPr>
    </w:p>
    <w:p>
      <w:pPr>
        <w:ind w:left="903"/>
        <w:spacing w:after="0"/>
        <w:rPr>
          <w:rFonts w:ascii="Arial" w:cs="Arial" w:eastAsia="Arial" w:hAnsi="Arial"/>
          <w:sz w:val="17"/>
          <w:szCs w:val="17"/>
          <w:color w:val="auto"/>
        </w:rPr>
      </w:pPr>
      <w:r>
        <w:rPr>
          <w:rFonts w:ascii="Times New Roman" w:cs="Times New Roman" w:eastAsia="Times New Roman" w:hAnsi="Times New Roman"/>
          <w:sz w:val="18"/>
          <w:szCs w:val="18"/>
          <w:color w:val="auto"/>
        </w:rPr>
        <w:t>52,377</w:t>
      </w:r>
    </w:p>
    <w:p>
      <w:pPr>
        <w:spacing w:after="0" w:line="7" w:lineRule="exact"/>
        <w:rPr>
          <w:rFonts w:ascii="Arial" w:cs="Arial" w:eastAsia="Arial" w:hAnsi="Arial"/>
          <w:sz w:val="17"/>
          <w:szCs w:val="17"/>
          <w:color w:val="auto"/>
        </w:rPr>
      </w:pPr>
    </w:p>
    <w:p>
      <w:pPr>
        <w:ind w:left="903"/>
        <w:spacing w:after="0"/>
        <w:rPr>
          <w:rFonts w:ascii="Arial" w:cs="Arial" w:eastAsia="Arial" w:hAnsi="Arial"/>
          <w:sz w:val="17"/>
          <w:szCs w:val="17"/>
          <w:color w:val="auto"/>
        </w:rPr>
      </w:pPr>
      <w:r>
        <w:rPr>
          <w:rFonts w:ascii="Times New Roman" w:cs="Times New Roman" w:eastAsia="Times New Roman" w:hAnsi="Times New Roman"/>
          <w:sz w:val="18"/>
          <w:szCs w:val="18"/>
          <w:color w:val="auto"/>
        </w:rPr>
        <w:t>47,086</w:t>
      </w:r>
    </w:p>
    <w:p>
      <w:pPr>
        <w:spacing w:after="0" w:line="7" w:lineRule="exact"/>
        <w:rPr>
          <w:rFonts w:ascii="Arial" w:cs="Arial" w:eastAsia="Arial" w:hAnsi="Arial"/>
          <w:sz w:val="17"/>
          <w:szCs w:val="17"/>
          <w:color w:val="auto"/>
        </w:rPr>
      </w:pPr>
    </w:p>
    <w:p>
      <w:pPr>
        <w:ind w:left="903"/>
        <w:spacing w:after="0"/>
        <w:rPr>
          <w:rFonts w:ascii="Arial" w:cs="Arial" w:eastAsia="Arial" w:hAnsi="Arial"/>
          <w:sz w:val="17"/>
          <w:szCs w:val="17"/>
          <w:color w:val="auto"/>
        </w:rPr>
      </w:pPr>
      <w:r>
        <w:rPr>
          <w:rFonts w:ascii="Times New Roman" w:cs="Times New Roman" w:eastAsia="Times New Roman" w:hAnsi="Times New Roman"/>
          <w:sz w:val="18"/>
          <w:szCs w:val="18"/>
          <w:color w:val="auto"/>
        </w:rPr>
        <w:t>22,532</w:t>
      </w:r>
    </w:p>
    <w:p>
      <w:pPr>
        <w:spacing w:after="0" w:line="15" w:lineRule="exact"/>
        <w:rPr>
          <w:rFonts w:ascii="Arial" w:cs="Arial" w:eastAsia="Arial" w:hAnsi="Arial"/>
          <w:sz w:val="17"/>
          <w:szCs w:val="17"/>
          <w:color w:val="auto"/>
        </w:rPr>
      </w:pPr>
    </w:p>
    <w:p>
      <w:pPr>
        <w:ind w:left="823" w:hanging="823"/>
        <w:spacing w:after="0"/>
        <w:tabs>
          <w:tab w:leader="none" w:pos="823" w:val="left"/>
        </w:tabs>
        <w:numPr>
          <w:ilvl w:val="0"/>
          <w:numId w:val="57"/>
        </w:numPr>
        <w:rPr>
          <w:rFonts w:ascii="Arial" w:cs="Arial" w:eastAsia="Arial" w:hAnsi="Arial"/>
          <w:sz w:val="17"/>
          <w:szCs w:val="17"/>
          <w:color w:val="auto"/>
        </w:rPr>
      </w:pPr>
      <w:r>
        <w:rPr>
          <w:rFonts w:ascii="Times New Roman" w:cs="Times New Roman" w:eastAsia="Times New Roman" w:hAnsi="Times New Roman"/>
          <w:sz w:val="17"/>
          <w:szCs w:val="17"/>
          <w:color w:val="auto"/>
        </w:rPr>
        <w:t>964,116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23495</wp:posOffset>
            </wp:positionV>
            <wp:extent cx="7073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73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40640</wp:posOffset>
            </wp:positionV>
            <wp:extent cx="7073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73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-129540</wp:posOffset>
            </wp:positionV>
            <wp:extent cx="7073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1105" w:lineRule="exact"/>
        <w:rPr>
          <w:sz w:val="20"/>
          <w:szCs w:val="20"/>
          <w:color w:val="auto"/>
        </w:rPr>
      </w:pPr>
    </w:p>
    <w:p>
      <w:pPr>
        <w:sectPr>
          <w:pgSz w:w="11900" w:h="16838" w:orient="portrait"/>
          <w:cols w:equalWidth="0" w:num="2">
            <w:col w:w="9017" w:space="720"/>
            <w:col w:w="1503"/>
          </w:cols>
          <w:pgMar w:left="320" w:top="761" w:right="339" w:bottom="1440" w:gutter="0" w:footer="0" w:header="0"/>
          <w:type w:val="continuous"/>
        </w:sectPr>
      </w:pPr>
    </w:p>
    <w:p>
      <w:pPr>
        <w:spacing w:after="0" w:line="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 operates a defined benefit retirement plan for employees who meet certain eligibility requirements. Under this plan, employees receive a lump-sum payment at the time of retirement based on the average salary of the final three months and the length of service provided. The Group is exposed to investment risk, interest rate risk, and salary risk under this plan.</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most recent actuarial valuation of the defined benefit obligation was performed by an external actuary in January 2026. The present value of the defined benefit obligation, together with the related current service cost and past service cost, has been measured using the projected unit credit method.</w:t>
      </w:r>
    </w:p>
    <w:p>
      <w:pPr>
        <w:spacing w:after="0" w:line="163" w:lineRule="exact"/>
        <w:rPr>
          <w:sz w:val="20"/>
          <w:szCs w:val="20"/>
          <w:color w:val="auto"/>
        </w:rPr>
      </w:pPr>
    </w:p>
    <w:p>
      <w:pPr>
        <w:ind w:left="660" w:hanging="331"/>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actuarial assumptions used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99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08"/>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 ~ 4.49%</w:t>
            </w:r>
          </w:p>
        </w:tc>
      </w:tr>
      <w:tr>
        <w:trPr>
          <w:trHeight w:val="23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Expected salary increase rate</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 ~ 5.00%</w:t>
            </w:r>
          </w:p>
        </w:tc>
      </w:tr>
    </w:tbl>
    <w:p>
      <w:pPr>
        <w:spacing w:after="0" w:line="178" w:lineRule="exact"/>
        <w:rPr>
          <w:sz w:val="20"/>
          <w:szCs w:val="20"/>
          <w:color w:val="auto"/>
        </w:rPr>
      </w:pPr>
    </w:p>
    <w:p>
      <w:pPr>
        <w:ind w:left="660" w:hanging="331"/>
        <w:spacing w:after="0" w:line="279"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recognized in the consolidated statement of financial position arising from the Group’s obligations in relation to the defined benefit retirement plan as of December 31, 2025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defined benefit obligation</w:t>
            </w:r>
          </w:p>
        </w:tc>
        <w:tc>
          <w:tcPr>
            <w:tcW w:w="5720" w:type="dxa"/>
            <w:vAlign w:val="bottom"/>
            <w:shd w:val="clear" w:color="auto" w:fill="CCEEFF"/>
          </w:tcPr>
          <w:p>
            <w:pPr>
              <w:ind w:left="5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12,065,236</w:t>
            </w:r>
          </w:p>
        </w:tc>
        <w:tc>
          <w:tcPr>
            <w:tcW w:w="0" w:type="dxa"/>
            <w:vAlign w:val="bottom"/>
          </w:tcPr>
          <w:p>
            <w:pPr>
              <w:spacing w:after="0"/>
              <w:rPr>
                <w:sz w:val="1"/>
                <w:szCs w:val="1"/>
                <w:color w:val="auto"/>
              </w:rPr>
            </w:pPr>
          </w:p>
        </w:tc>
      </w:tr>
      <w:tr>
        <w:trPr>
          <w:trHeight w:val="21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57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(11,209,013)</w:t>
            </w: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pension conversion fund</w:t>
            </w:r>
          </w:p>
        </w:tc>
        <w:tc>
          <w:tcPr>
            <w:tcW w:w="5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defined benefit liability</w:t>
            </w:r>
          </w:p>
        </w:tc>
        <w:tc>
          <w:tcPr>
            <w:tcW w:w="5720" w:type="dxa"/>
            <w:vAlign w:val="bottom"/>
          </w:tcPr>
          <w:p>
            <w:pPr>
              <w:ind w:left="54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720" w:type="dxa"/>
            <w:vAlign w:val="bottom"/>
            <w:vMerge w:val="restart"/>
          </w:tcPr>
          <w:p>
            <w:pPr>
              <w:jc w:val="right"/>
              <w:ind w:right="4211"/>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3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7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iii.  Changes in the net defined benefit liability for the year ended December 31, 2025 are as follows: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5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9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6"/>
              </w:rPr>
              <w:t>Defined</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42"/>
              <w:spacing w:after="0" w:line="186" w:lineRule="exact"/>
              <w:rPr>
                <w:sz w:val="20"/>
                <w:szCs w:val="20"/>
                <w:color w:val="auto"/>
              </w:rPr>
            </w:pPr>
            <w:r>
              <w:rPr>
                <w:rFonts w:ascii="Times New Roman" w:cs="Times New Roman" w:eastAsia="Times New Roman" w:hAnsi="Times New Roman"/>
                <w:sz w:val="18"/>
                <w:szCs w:val="18"/>
                <w:b w:val="1"/>
                <w:bCs w:val="1"/>
                <w:color w:val="auto"/>
                <w:w w:val="99"/>
              </w:rPr>
              <w:t>National</w:t>
            </w: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Net Defined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Obligation</w:t>
            </w:r>
          </w:p>
        </w:tc>
        <w:tc>
          <w:tcPr>
            <w:tcW w:w="13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1320" w:type="dxa"/>
            <w:vAlign w:val="bottom"/>
            <w:gridSpan w:val="2"/>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8"/>
              </w:rPr>
              <w:t>Contributions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08"/>
        </w:trPr>
        <w:tc>
          <w:tcPr>
            <w:tcW w:w="5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4"/>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10,784,741</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(10,065,703)</w:t>
            </w:r>
          </w:p>
        </w:tc>
        <w:tc>
          <w:tcPr>
            <w:tcW w:w="1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(1,389)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717,649</w:t>
            </w:r>
          </w:p>
        </w:tc>
        <w:tc>
          <w:tcPr>
            <w:tcW w:w="0" w:type="dxa"/>
            <w:vAlign w:val="bottom"/>
          </w:tcPr>
          <w:p>
            <w:pPr>
              <w:spacing w:after="0"/>
              <w:rPr>
                <w:sz w:val="1"/>
                <w:szCs w:val="1"/>
                <w:color w:val="auto"/>
              </w:rPr>
            </w:pPr>
          </w:p>
        </w:tc>
      </w:tr>
      <w:tr>
        <w:trPr>
          <w:trHeight w:val="21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 profit or loss:</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service cost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1,263,382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 (interest income)</w:t>
            </w: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302,014</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(282,755)</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19,259</w:t>
            </w:r>
          </w:p>
        </w:tc>
        <w:tc>
          <w:tcPr>
            <w:tcW w:w="0" w:type="dxa"/>
            <w:vAlign w:val="bottom"/>
          </w:tcPr>
          <w:p>
            <w:pPr>
              <w:spacing w:after="0"/>
              <w:rPr>
                <w:sz w:val="1"/>
                <w:szCs w:val="1"/>
                <w:color w:val="auto"/>
              </w:rPr>
            </w:pPr>
          </w:p>
        </w:tc>
      </w:tr>
      <w:tr>
        <w:trPr>
          <w:trHeight w:val="222"/>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(282,755</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Remeasurements recognized in other comprehensive income:</w:t>
            </w: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Return on plan assets (excluding amounts included in interest)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(66,272)</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(66,272)</w:t>
            </w:r>
          </w:p>
        </w:tc>
        <w:tc>
          <w:tcPr>
            <w:tcW w:w="0" w:type="dxa"/>
            <w:vAlign w:val="bottom"/>
          </w:tcPr>
          <w:p>
            <w:pPr>
              <w:spacing w:after="0"/>
              <w:rPr>
                <w:sz w:val="1"/>
                <w:szCs w:val="1"/>
                <w:color w:val="auto"/>
              </w:rPr>
            </w:pPr>
          </w:p>
        </w:tc>
      </w:tr>
      <w:tr>
        <w:trPr>
          <w:trHeight w:val="215"/>
        </w:trPr>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Actuarial gains and losses arising from changes in financial assumptions</w:t>
            </w: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129,360</w:t>
            </w: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129,360</w:t>
            </w: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Actuarial gains and losses arising from experience adjustments</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367,178</w:t>
            </w:r>
          </w:p>
        </w:tc>
        <w:tc>
          <w:tcPr>
            <w:tcW w:w="1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367,178</w:t>
            </w:r>
          </w:p>
        </w:tc>
        <w:tc>
          <w:tcPr>
            <w:tcW w:w="0" w:type="dxa"/>
            <w:vAlign w:val="bottom"/>
          </w:tcPr>
          <w:p>
            <w:pPr>
              <w:spacing w:after="0"/>
              <w:rPr>
                <w:sz w:val="1"/>
                <w:szCs w:val="1"/>
                <w:color w:val="auto"/>
              </w:rPr>
            </w:pPr>
          </w:p>
        </w:tc>
      </w:tr>
      <w:tr>
        <w:trPr>
          <w:trHeight w:val="262"/>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Subtotal</w:t>
            </w:r>
          </w:p>
        </w:tc>
        <w:tc>
          <w:tcPr>
            <w:tcW w:w="48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496,538</w:t>
            </w:r>
          </w:p>
        </w:tc>
        <w:tc>
          <w:tcPr>
            <w:tcW w:w="2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(66,272</w:t>
            </w:r>
          </w:p>
        </w:tc>
        <w:tc>
          <w:tcPr>
            <w:tcW w:w="22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Benefits paid:</w:t>
            </w: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4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(786,227)</w:t>
            </w: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1,105,717</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319,490</w:t>
            </w: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to/from related parties</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4,788</w:t>
            </w:r>
          </w:p>
        </w:tc>
        <w:tc>
          <w:tcPr>
            <w:tcW w:w="1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21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(1,900,000)</w:t>
            </w:r>
          </w:p>
        </w:tc>
        <w:tc>
          <w:tcPr>
            <w:tcW w:w="1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(1,900,000)</w:t>
            </w:r>
          </w:p>
        </w:tc>
        <w:tc>
          <w:tcPr>
            <w:tcW w:w="0" w:type="dxa"/>
            <w:vAlign w:val="bottom"/>
          </w:tcPr>
          <w:p>
            <w:pPr>
              <w:spacing w:after="0"/>
              <w:rPr>
                <w:sz w:val="1"/>
                <w:szCs w:val="1"/>
                <w:color w:val="auto"/>
              </w:rPr>
            </w:pPr>
          </w:p>
        </w:tc>
      </w:tr>
      <w:tr>
        <w:trPr>
          <w:trHeight w:val="222"/>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12,065,236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(11,209,013</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Amounts recognized in profit or loss for the year ended December 31, 2025 are included in employee benefits expense in the statement of comprehensive income. Of the amount recognized during the year ended December 31, 2025, Korean won 684,209 thousand is included in cost of sales, with the remaining amount included in selling and administrative expenses.</w:t>
      </w:r>
    </w:p>
    <w:p>
      <w:pPr>
        <w:spacing w:after="0" w:line="1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The components of the fair value of plan assets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57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57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57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57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 and others</w:t>
            </w:r>
          </w:p>
        </w:tc>
        <w:tc>
          <w:tcPr>
            <w:tcW w:w="4260" w:type="dxa"/>
            <w:vAlign w:val="bottom"/>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11,210,401</w:t>
            </w: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investment strategy and policy for plan assets aim to achieve a balance between risk reduction and return enhancement. The objective of minimizing the volatility of assets relative to liabilities is achieved through diversification of assets, partial asset-liability matching strategies, and hedging. In order to reduce the overall volatility of assets relative to liabilities (risk-adjusted) while achieving target returns, the Group invests broadly across various asset classes. The allocation to fixed-income assets is designed to partially match the characteristics of pension liabilities, which are similar to bonds and have long maturities.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actual return on plan assets amounted to Korean won 349,026 thousand.</w:t>
      </w:r>
    </w:p>
    <w:p>
      <w:pPr>
        <w:spacing w:after="0" w:line="222" w:lineRule="exact"/>
        <w:rPr>
          <w:sz w:val="20"/>
          <w:szCs w:val="20"/>
          <w:color w:val="auto"/>
        </w:rPr>
      </w:pPr>
    </w:p>
    <w:p>
      <w:pPr>
        <w:jc w:val="center"/>
        <w:ind w:left="5540" w:right="380" w:hanging="5211"/>
        <w:spacing w:after="0" w:line="653" w:lineRule="auto"/>
        <w:tabs>
          <w:tab w:leader="none" w:pos="6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recognized in relation to defined contribution plans for the year ended December 31, 2025 amounted to Korean won 8,487 thousand.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vi.  Sensitivity analysis of the defined benefit obligation to changes in key assumptions for the year ended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Increase in</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Decrease in</w:t>
            </w:r>
          </w:p>
        </w:tc>
      </w:tr>
      <w:tr>
        <w:trPr>
          <w:trHeight w:val="237"/>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Assumption</w:t>
            </w: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Borders>
              <w:bottom w:val="single" w:sz="8" w:color="CCEEFF"/>
            </w:tcBorders>
          </w:tcPr>
          <w:p>
            <w:pPr>
              <w:spacing w:after="0"/>
              <w:rPr>
                <w:sz w:val="20"/>
                <w:szCs w:val="20"/>
                <w:color w:val="auto"/>
              </w:rPr>
            </w:pPr>
          </w:p>
        </w:tc>
      </w:tr>
      <w:tr>
        <w:trPr>
          <w:trHeight w:val="208"/>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decrease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3.74% increase</w:t>
            </w:r>
          </w:p>
        </w:tc>
        <w:tc>
          <w:tcPr>
            <w:tcW w:w="100" w:type="dxa"/>
            <w:vAlign w:val="bottom"/>
            <w:shd w:val="clear" w:color="auto" w:fill="CCEEFF"/>
          </w:tcPr>
          <w:p>
            <w:pPr>
              <w:spacing w:after="0"/>
              <w:rPr>
                <w:sz w:val="18"/>
                <w:szCs w:val="18"/>
                <w:color w:val="auto"/>
              </w:rPr>
            </w:pPr>
          </w:p>
        </w:tc>
      </w:tr>
      <w:tr>
        <w:trPr>
          <w:trHeight w:val="23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Salary increase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 increase</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3.45% decrease</w:t>
            </w:r>
          </w:p>
        </w:tc>
      </w:tr>
    </w:tbl>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above sensitivity analysis has been determined based on the assumption that all other variables remain constant. The sensitivity of the defined benefit obligation to changes in key actuarial assumptions has been calculated using the same method (projected unit credit method) applied in measuring the defined benefit obligation recognized in the consolidated statement of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methods and assumptions used in the sensitivity analysis are consistent with those applied in the prior period.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vii. Impact of the defined benefit plan on future cash flows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 reviews the funding level of the plan on an annual basis and has a policy to make up for any funding shortfall. The expected contributions for the year ending December 31, 2026 amount to Korean won 1,232,019 thousand.</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viii. The maturity analysis of undiscounted pension benefit payments as of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9"/>
              </w:rPr>
              <w:t>Within 1 year</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 years</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 years</w:t>
            </w:r>
          </w:p>
        </w:tc>
        <w:tc>
          <w:tcPr>
            <w:tcW w:w="13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Over 5 years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r>
      <w:tr>
        <w:trPr>
          <w:trHeight w:val="208"/>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0" w:type="dxa"/>
            <w:vAlign w:val="bottom"/>
            <w:gridSpan w:val="3"/>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15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2,901,147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2,659,263</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5,968,625</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9,701,099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21,230,134</w:t>
            </w:r>
          </w:p>
        </w:tc>
      </w:tr>
      <w:tr>
        <w:trPr>
          <w:trHeight w:val="430"/>
        </w:trPr>
        <w:tc>
          <w:tcPr>
            <w:tcW w:w="71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ix.  The weighted average duration of the defined benefit obligation of the Group is as follows:</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3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31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company</w:t>
            </w:r>
          </w:p>
        </w:tc>
        <w:tc>
          <w:tcPr>
            <w:tcW w:w="1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3.65 years</w:t>
            </w:r>
          </w:p>
        </w:tc>
        <w:tc>
          <w:tcPr>
            <w:tcW w:w="100" w:type="dxa"/>
            <w:vAlign w:val="bottom"/>
            <w:shd w:val="clear" w:color="auto" w:fill="CCEEFF"/>
          </w:tcPr>
          <w:p>
            <w:pPr>
              <w:spacing w:after="0"/>
              <w:rPr>
                <w:sz w:val="18"/>
                <w:szCs w:val="18"/>
                <w:color w:val="auto"/>
              </w:rPr>
            </w:pPr>
          </w:p>
        </w:tc>
      </w:tr>
      <w:tr>
        <w:trPr>
          <w:trHeight w:val="23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8.81 years</w:t>
            </w:r>
          </w:p>
        </w:tc>
      </w:tr>
    </w:tbl>
    <w:p>
      <w:pPr>
        <w:spacing w:after="0" w:line="1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Other long-term employee benefits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 provides monetary benefits to employees with long-term service. These benefits are measured using the same method applied to defined benefit obligations for retirement benefits.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the present value of the defined benefit obligation related to other long-term employee benefits amounts to Korean won 176,138 thousand and is presented as employee benefits liabilities. Net interest and remeasurement components related to these obligations are recognized in profit or loss.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9" w:name="page40"/>
    <w:bookmarkEnd w:id="39"/>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Liabilities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other liabilities as of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VAT payable</w:t>
      </w:r>
    </w:p>
    <w:p>
      <w:pPr>
        <w:spacing w:after="0" w:line="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Total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Provisions</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Details of provisions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provisions as of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Restoration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Provision for loss on contracts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Mileage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53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jc w:val="center"/>
        <w:ind w:left="500"/>
        <w:spacing w:after="0"/>
        <w:rPr>
          <w:sz w:val="20"/>
          <w:szCs w:val="20"/>
          <w:color w:val="auto"/>
        </w:rPr>
      </w:pPr>
      <w:r>
        <w:rPr>
          <w:rFonts w:ascii="Times New Roman" w:cs="Times New Roman" w:eastAsia="Times New Roman" w:hAnsi="Times New Roman"/>
          <w:sz w:val="18"/>
          <w:szCs w:val="18"/>
          <w:color w:val="auto"/>
        </w:rPr>
        <w:t>Total</w:t>
      </w:r>
    </w:p>
    <w:p>
      <w:pPr>
        <w:spacing w:after="0" w:line="2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179"/>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0" w:lineRule="exact"/>
        <w:rPr>
          <w:sz w:val="20"/>
          <w:szCs w:val="20"/>
          <w:color w:val="auto"/>
        </w:rPr>
      </w:pPr>
    </w:p>
    <w:p>
      <w:pPr>
        <w:jc w:val="center"/>
        <w:ind w:left="-1179"/>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4445</wp:posOffset>
            </wp:positionV>
            <wp:extent cx="7073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jc w:val="center"/>
        <w:ind w:left="-1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 w:lineRule="exact"/>
        <w:rPr>
          <w:sz w:val="20"/>
          <w:szCs w:val="20"/>
          <w:color w:val="auto"/>
        </w:rPr>
      </w:pPr>
    </w:p>
    <w:p>
      <w:pPr>
        <w:jc w:val="center"/>
        <w:ind w:left="-1179"/>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8" w:lineRule="exact"/>
        <w:rPr>
          <w:sz w:val="20"/>
          <w:szCs w:val="20"/>
          <w:color w:val="auto"/>
        </w:rPr>
      </w:pPr>
    </w:p>
    <w:p>
      <w:pPr>
        <w:jc w:val="center"/>
        <w:ind w:left="-1179"/>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2" w:lineRule="exact"/>
        <w:rPr>
          <w:sz w:val="20"/>
          <w:szCs w:val="20"/>
          <w:color w:val="auto"/>
        </w:rPr>
      </w:pPr>
    </w:p>
    <w:p>
      <w:pPr>
        <w:jc w:val="both"/>
        <w:ind w:left="1340"/>
        <w:spacing w:after="0"/>
        <w:tabs>
          <w:tab w:leader="none" w:pos="2220" w:val="left"/>
        </w:tabs>
        <w:rPr>
          <w:sz w:val="20"/>
          <w:szCs w:val="20"/>
          <w:color w:val="auto"/>
        </w:rPr>
      </w:pPr>
      <w:r>
        <w:rPr>
          <w:rFonts w:ascii="Arial" w:cs="Arial" w:eastAsia="Arial" w:hAnsi="Arial"/>
          <w:sz w:val="18"/>
          <w:szCs w:val="18"/>
          <w:color w:val="auto"/>
        </w:rPr>
        <w:t>₩</w:t>
      </w:r>
      <w:r>
        <w:rPr>
          <w:sz w:val="20"/>
          <w:szCs w:val="20"/>
          <w:color w:val="auto"/>
        </w:rPr>
        <w:tab/>
      </w:r>
      <w:r>
        <w:rPr>
          <w:rFonts w:ascii="Times New Roman" w:cs="Times New Roman" w:eastAsia="Times New Roman" w:hAnsi="Times New Roman"/>
          <w:sz w:val="18"/>
          <w:szCs w:val="18"/>
          <w:color w:val="auto"/>
        </w:rPr>
        <w:t>41,223</w:t>
      </w:r>
    </w:p>
    <w:p>
      <w:pPr>
        <w:spacing w:after="0" w:line="1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9,424</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1,405,798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4445</wp:posOffset>
            </wp:positionV>
            <wp:extent cx="7073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jc w:val="both"/>
        <w:ind w:left="1340"/>
        <w:spacing w:after="0"/>
        <w:tabs>
          <w:tab w:leader="none" w:pos="2000" w:val="left"/>
        </w:tabs>
        <w:rPr>
          <w:sz w:val="20"/>
          <w:szCs w:val="20"/>
          <w:color w:val="auto"/>
        </w:rPr>
      </w:pPr>
      <w:r>
        <w:rPr>
          <w:rFonts w:ascii="Arial" w:cs="Arial" w:eastAsia="Arial" w:hAnsi="Arial"/>
          <w:sz w:val="18"/>
          <w:szCs w:val="18"/>
          <w:color w:val="auto"/>
        </w:rPr>
        <w:t>₩</w:t>
      </w:r>
      <w:r>
        <w:rPr>
          <w:sz w:val="20"/>
          <w:szCs w:val="20"/>
          <w:color w:val="auto"/>
        </w:rPr>
        <w:tab/>
      </w:r>
      <w:r>
        <w:rPr>
          <w:rFonts w:ascii="Times New Roman" w:cs="Times New Roman" w:eastAsia="Times New Roman" w:hAnsi="Times New Roman"/>
          <w:sz w:val="18"/>
          <w:szCs w:val="18"/>
          <w:color w:val="auto"/>
        </w:rPr>
        <w:t>1,456,445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12700</wp:posOffset>
            </wp:positionV>
            <wp:extent cx="7073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7390" cy="8255"/>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29845</wp:posOffset>
            </wp:positionV>
            <wp:extent cx="7073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24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400" w:type="dxa"/>
            <w:vAlign w:val="bottom"/>
            <w:tcBorders>
              <w:bottom w:val="single" w:sz="8" w:color="auto"/>
            </w:tcBorders>
            <w:gridSpan w:val="3"/>
          </w:tcPr>
          <w:p>
            <w:pPr>
              <w:jc w:val="center"/>
              <w:ind w:left="9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14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Non-current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00" w:type="dxa"/>
            <w:vAlign w:val="bottom"/>
            <w:vMerge w:val="restart"/>
          </w:tcPr>
          <w:p>
            <w:pPr>
              <w:spacing w:after="0"/>
              <w:rPr>
                <w:sz w:val="20"/>
                <w:szCs w:val="20"/>
                <w:color w:val="auto"/>
              </w:rPr>
            </w:pPr>
            <w:r>
              <w:rPr>
                <w:rFonts w:ascii="Arial" w:cs="Arial" w:eastAsia="Arial" w:hAnsi="Arial"/>
                <w:sz w:val="18"/>
                <w:szCs w:val="18"/>
                <w:color w:val="auto"/>
              </w:rPr>
              <w:t>₩</w:t>
            </w:r>
          </w:p>
        </w:tc>
        <w:tc>
          <w:tcPr>
            <w:tcW w:w="244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0" w:type="dxa"/>
            <w:vAlign w:val="bottom"/>
            <w:vMerge w:val="continue"/>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173,498</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430,521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0" w:type="dxa"/>
            <w:vAlign w:val="bottom"/>
            <w:vMerge w:val="restart"/>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0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432,506</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173,498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9" w:lineRule="exact"/>
        <w:rPr>
          <w:sz w:val="20"/>
          <w:szCs w:val="20"/>
          <w:color w:val="auto"/>
        </w:rPr>
      </w:pPr>
    </w:p>
    <w:p>
      <w:pPr>
        <w:sectPr>
          <w:pgSz w:w="11900" w:h="16838" w:orient="portrait"/>
          <w:cols w:equalWidth="0" w:num="2">
            <w:col w:w="7960" w:space="440"/>
            <w:col w:w="2840"/>
          </w:cols>
          <w:pgMar w:left="320" w:top="761" w:right="339" w:bottom="1440" w:gutter="0" w:footer="0" w:header="0"/>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provisions for the year ended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20" w:type="dxa"/>
            <w:vAlign w:val="bottom"/>
            <w:gridSpan w:val="2"/>
          </w:tcPr>
          <w:p>
            <w:pPr>
              <w:jc w:val="right"/>
              <w:ind w:right="380"/>
              <w:spacing w:after="0" w:line="186"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1500" w:type="dxa"/>
            <w:vAlign w:val="bottom"/>
            <w:gridSpan w:val="3"/>
          </w:tcPr>
          <w:p>
            <w:pPr>
              <w:ind w:left="180"/>
              <w:spacing w:after="0" w:line="186" w:lineRule="exact"/>
              <w:rPr>
                <w:sz w:val="20"/>
                <w:szCs w:val="20"/>
                <w:color w:val="auto"/>
              </w:rPr>
            </w:pPr>
            <w:r>
              <w:rPr>
                <w:rFonts w:ascii="Times New Roman" w:cs="Times New Roman" w:eastAsia="Times New Roman" w:hAnsi="Times New Roman"/>
                <w:sz w:val="18"/>
                <w:szCs w:val="18"/>
                <w:b w:val="1"/>
                <w:bCs w:val="1"/>
                <w:color w:val="auto"/>
              </w:rPr>
              <w:t>Additions</w:t>
            </w:r>
          </w:p>
        </w:tc>
        <w:tc>
          <w:tcPr>
            <w:tcW w:w="1160" w:type="dxa"/>
            <w:vAlign w:val="bottom"/>
            <w:gridSpan w:val="2"/>
          </w:tcPr>
          <w:p>
            <w:pPr>
              <w:jc w:val="right"/>
              <w:ind w:right="480"/>
              <w:spacing w:after="0" w:line="186"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20" w:type="dxa"/>
            <w:vAlign w:val="bottom"/>
          </w:tcPr>
          <w:p>
            <w:pPr>
              <w:ind w:left="280"/>
              <w:spacing w:after="0" w:line="186" w:lineRule="exact"/>
              <w:rPr>
                <w:sz w:val="20"/>
                <w:szCs w:val="20"/>
                <w:color w:val="auto"/>
              </w:rPr>
            </w:pPr>
            <w:r>
              <w:rPr>
                <w:rFonts w:ascii="Times New Roman" w:cs="Times New Roman" w:eastAsia="Times New Roman" w:hAnsi="Times New Roman"/>
                <w:sz w:val="18"/>
                <w:szCs w:val="18"/>
                <w:b w:val="1"/>
                <w:bCs w:val="1"/>
                <w:color w:val="auto"/>
              </w:rPr>
              <w:t>Ending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(reversal)</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Restoration provisions</w:t>
            </w:r>
          </w:p>
        </w:tc>
        <w:tc>
          <w:tcPr>
            <w:tcW w:w="17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181,505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173,498</w:t>
            </w:r>
          </w:p>
        </w:tc>
        <w:tc>
          <w:tcPr>
            <w:tcW w:w="0" w:type="dxa"/>
            <w:vAlign w:val="bottom"/>
          </w:tcPr>
          <w:p>
            <w:pPr>
              <w:spacing w:after="0"/>
              <w:rPr>
                <w:sz w:val="1"/>
                <w:szCs w:val="1"/>
                <w:color w:val="auto"/>
              </w:rPr>
            </w:pPr>
          </w:p>
        </w:tc>
      </w:tr>
      <w:tr>
        <w:trPr>
          <w:trHeight w:val="21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provisions</w:t>
            </w:r>
          </w:p>
        </w:tc>
        <w:tc>
          <w:tcPr>
            <w:tcW w:w="17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247,270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183,251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430,521</w:t>
            </w: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loss on contracts</w:t>
            </w:r>
          </w:p>
        </w:tc>
        <w:tc>
          <w:tcPr>
            <w:tcW w:w="17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23,679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Mileage provisions</w:t>
            </w:r>
          </w:p>
        </w:tc>
        <w:tc>
          <w:tcPr>
            <w:tcW w:w="17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46,154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00" w:type="dxa"/>
            <w:vAlign w:val="bottom"/>
            <w:tcBorders>
              <w:top w:val="single" w:sz="8" w:color="CCEEFF"/>
              <w:bottom w:val="single" w:sz="8" w:color="CCEEFF"/>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CCEEFF"/>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 Share capital</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Details of share capital</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Details of share capital as of December 31, 2025 are as follows: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9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9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(In thousands of</w:t>
            </w:r>
          </w:p>
        </w:tc>
        <w:tc>
          <w:tcPr>
            <w:tcW w:w="100" w:type="dxa"/>
            <w:vAlign w:val="bottom"/>
          </w:tcPr>
          <w:p>
            <w:pPr>
              <w:spacing w:after="0"/>
              <w:rPr>
                <w:sz w:val="16"/>
                <w:szCs w:val="16"/>
                <w:color w:val="auto"/>
              </w:rPr>
            </w:pPr>
          </w:p>
        </w:tc>
      </w:tr>
      <w:tr>
        <w:trPr>
          <w:trHeight w:val="215"/>
        </w:trPr>
        <w:tc>
          <w:tcPr>
            <w:tcW w:w="9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Korean won,</w:t>
            </w:r>
          </w:p>
        </w:tc>
      </w:tr>
      <w:tr>
        <w:trPr>
          <w:trHeight w:val="215"/>
        </w:trPr>
        <w:tc>
          <w:tcPr>
            <w:tcW w:w="9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shares and</w:t>
            </w:r>
          </w:p>
        </w:tc>
      </w:tr>
      <w:tr>
        <w:trPr>
          <w:trHeight w:val="237"/>
        </w:trPr>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Korean won)</w:t>
            </w: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shares</w:t>
            </w:r>
          </w:p>
        </w:tc>
        <w:tc>
          <w:tcPr>
            <w:tcW w:w="7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40,000,000 shares</w:t>
            </w:r>
          </w:p>
        </w:tc>
      </w:tr>
      <w:tr>
        <w:trPr>
          <w:trHeight w:val="215"/>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Issued ordinary shares</w:t>
            </w:r>
          </w:p>
        </w:tc>
        <w:tc>
          <w:tcPr>
            <w:tcW w:w="72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13,879,521 shares</w:t>
            </w: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per share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KRW 500</w:t>
            </w:r>
          </w:p>
        </w:tc>
      </w:tr>
      <w:tr>
        <w:trPr>
          <w:trHeight w:val="302"/>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6,939,761</w:t>
            </w:r>
          </w:p>
        </w:tc>
        <w:tc>
          <w:tcPr>
            <w:tcW w:w="100" w:type="dxa"/>
            <w:vAlign w:val="bottom"/>
          </w:tcPr>
          <w:p>
            <w:pPr>
              <w:spacing w:after="0"/>
              <w:rPr>
                <w:sz w:val="24"/>
                <w:szCs w:val="24"/>
                <w:color w:val="auto"/>
              </w:rPr>
            </w:pPr>
          </w:p>
        </w:tc>
      </w:tr>
      <w:tr>
        <w:trPr>
          <w:trHeight w:val="343"/>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Changes in shares outstanding</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There were no changes in the number of shares outstanding for the year ended December 31, 2025 (13,662,476 shares).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 Other reserves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Composition of Other reserves as of December 31, 2025 is as follows: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9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9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9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paid-in capital</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premium</w:t>
            </w:r>
          </w:p>
        </w:tc>
        <w:tc>
          <w:tcPr>
            <w:tcW w:w="7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93"/>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9,730,846</w:t>
            </w:r>
          </w:p>
        </w:tc>
        <w:tc>
          <w:tcPr>
            <w:tcW w:w="100" w:type="dxa"/>
            <w:vAlign w:val="bottom"/>
          </w:tcPr>
          <w:p>
            <w:pPr>
              <w:spacing w:after="0"/>
              <w:rPr>
                <w:sz w:val="18"/>
                <w:szCs w:val="18"/>
                <w:color w:val="auto"/>
              </w:rPr>
            </w:pPr>
          </w:p>
        </w:tc>
      </w:tr>
      <w:tr>
        <w:trPr>
          <w:trHeight w:val="215"/>
        </w:trPr>
        <w:tc>
          <w:tcPr>
            <w:tcW w:w="9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shares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(451,821)</w:t>
            </w:r>
          </w:p>
        </w:tc>
      </w:tr>
      <w:tr>
        <w:trPr>
          <w:trHeight w:val="215"/>
        </w:trPr>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disposal of treasury shares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529,131</w:t>
            </w:r>
          </w:p>
        </w:tc>
      </w:tr>
      <w:tr>
        <w:trPr>
          <w:trHeight w:val="215"/>
        </w:trPr>
        <w:tc>
          <w:tcPr>
            <w:tcW w:w="9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options (*)</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46,595</w:t>
            </w:r>
          </w:p>
        </w:tc>
      </w:tr>
      <w:tr>
        <w:trPr>
          <w:trHeight w:val="215"/>
        </w:trPr>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581,770</w:t>
            </w: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components of equity</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equity under the equity method</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r>
      <w:tr>
        <w:trPr>
          <w:trHeight w:val="222"/>
        </w:trPr>
        <w:tc>
          <w:tcPr>
            <w:tcW w:w="9000" w:type="dxa"/>
            <w:vAlign w:val="bottom"/>
            <w:tcBorders>
              <w:top w:val="single" w:sz="8" w:color="CCEEFF"/>
              <w:bottom w:val="single" w:sz="8" w:color="CCEEFF"/>
            </w:tcBorders>
            <w:shd w:val="clear" w:color="auto" w:fill="CCEEFF"/>
          </w:tcPr>
          <w:p>
            <w:pPr>
              <w:ind w:left="47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Detailed information on share options is described in Note 32.</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1" w:name="page42"/>
    <w:bookmarkEnd w:id="41"/>
    <w:p>
      <w:pPr>
        <w:jc w:val="center"/>
        <w:ind w:left="2223"/>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ind w:left="2223"/>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Accumulated Deficit</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Composition of accumulated deficit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Composition of accumulated deficit as of December 31,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8" w:lineRule="exact"/>
        <w:rPr>
          <w:sz w:val="20"/>
          <w:szCs w:val="20"/>
          <w:color w:val="auto"/>
        </w:rPr>
      </w:pPr>
    </w:p>
    <w:p>
      <w:pPr>
        <w:jc w:val="center"/>
        <w:ind w:left="783"/>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2955" cy="153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183515</wp:posOffset>
            </wp:positionV>
            <wp:extent cx="1781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0"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4445</wp:posOffset>
            </wp:positionV>
            <wp:extent cx="7073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8"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2" w:lineRule="exact"/>
        <w:rPr>
          <w:sz w:val="20"/>
          <w:szCs w:val="20"/>
          <w:color w:val="auto"/>
        </w:rPr>
      </w:pPr>
    </w:p>
    <w:p>
      <w:pPr>
        <w:ind w:left="823" w:hanging="823"/>
        <w:spacing w:after="0"/>
        <w:tabs>
          <w:tab w:leader="none" w:pos="823"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460,719</w:t>
      </w:r>
    </w:p>
    <w:p>
      <w:pPr>
        <w:spacing w:after="0" w:line="26" w:lineRule="exact"/>
        <w:rPr>
          <w:rFonts w:ascii="Arial" w:cs="Arial" w:eastAsia="Arial" w:hAnsi="Arial"/>
          <w:sz w:val="18"/>
          <w:szCs w:val="18"/>
          <w:color w:val="auto"/>
        </w:rPr>
      </w:pPr>
    </w:p>
    <w:p>
      <w:pPr>
        <w:ind w:left="623"/>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(4,807,056)</w:t>
      </w:r>
    </w:p>
    <w:p>
      <w:pPr>
        <w:spacing w:after="0" w:line="6" w:lineRule="exact"/>
        <w:rPr>
          <w:rFonts w:ascii="Arial" w:cs="Arial" w:eastAsia="Arial" w:hAnsi="Arial"/>
          <w:sz w:val="18"/>
          <w:szCs w:val="18"/>
          <w:color w:val="auto"/>
        </w:rPr>
      </w:pPr>
    </w:p>
    <w:p>
      <w:pPr>
        <w:ind w:left="623" w:hanging="623"/>
        <w:spacing w:after="0"/>
        <w:tabs>
          <w:tab w:leader="none" w:pos="623"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(4,346,337)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29845</wp:posOffset>
            </wp:positionV>
            <wp:extent cx="7073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17" w:space="720"/>
            <w:col w:w="1503"/>
          </w:cols>
          <w:pgMar w:left="320" w:top="761" w:right="339" w:bottom="1440" w:gutter="0" w:footer="0" w:header="0"/>
        </w:sectPr>
      </w:pPr>
    </w:p>
    <w:p>
      <w:pPr>
        <w:spacing w:after="0" w:line="84" w:lineRule="exact"/>
        <w:rPr>
          <w:sz w:val="20"/>
          <w:szCs w:val="20"/>
          <w:color w:val="auto"/>
        </w:rPr>
      </w:pPr>
    </w:p>
    <w:p>
      <w:pPr>
        <w:jc w:val="both"/>
        <w:ind w:left="320" w:hanging="313"/>
        <w:spacing w:after="0" w:line="264" w:lineRule="auto"/>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Korean Commercial Code, the Group is required to appropriate at least 10% of cash dividends for each accounting period as a legal reserve until such reserve reaches 50% of paid-in capital. This reserve may not be used for cash dividends but may be used to offset deficits or be transferred to capital.</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accumulated deficit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deficit for the year ended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4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45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45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480" w:type="dxa"/>
            <w:vAlign w:val="bottom"/>
            <w:shd w:val="clear" w:color="auto" w:fill="CCEEFF"/>
          </w:tcPr>
          <w:p>
            <w:pPr>
              <w:ind w:left="5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(4,809,876)</w:t>
            </w:r>
          </w:p>
        </w:tc>
      </w:tr>
      <w:tr>
        <w:trPr>
          <w:trHeight w:val="215"/>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Remeasurements of defined benefit obligations</w:t>
            </w:r>
          </w:p>
        </w:tc>
        <w:tc>
          <w:tcPr>
            <w:tcW w:w="54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(330,591)</w:t>
            </w:r>
          </w:p>
        </w:tc>
      </w:tr>
      <w:tr>
        <w:trPr>
          <w:trHeight w:val="21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Profit for the year</w:t>
            </w:r>
          </w:p>
        </w:tc>
        <w:tc>
          <w:tcPr>
            <w:tcW w:w="5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794,130</w:t>
            </w:r>
          </w:p>
        </w:tc>
      </w:tr>
      <w:tr>
        <w:trPr>
          <w:trHeight w:val="30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480" w:type="dxa"/>
            <w:vAlign w:val="bottom"/>
          </w:tcPr>
          <w:p>
            <w:pPr>
              <w:ind w:left="5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(4,346,337)</w:t>
            </w:r>
          </w:p>
        </w:tc>
      </w:tr>
      <w:tr>
        <w:trPr>
          <w:trHeight w:val="470"/>
        </w:trPr>
        <w:tc>
          <w:tcPr>
            <w:tcW w:w="45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jc w:val="right"/>
              <w:ind w:right="4211"/>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type w:val="continuous"/>
        </w:sectPr>
      </w:pPr>
    </w:p>
    <w:bookmarkStart w:id="42" w:name="page43"/>
    <w:bookmarkEnd w:id="4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Revenue</w:t>
      </w:r>
    </w:p>
    <w:p>
      <w:pPr>
        <w:sectPr>
          <w:pgSz w:w="11900" w:h="16838" w:orient="portrait"/>
          <w:cols w:equalWidth="0" w:num="1">
            <w:col w:w="11140"/>
          </w:cols>
          <w:pgMar w:left="320" w:top="761" w:right="439" w:bottom="1440" w:gutter="0" w:footer="0" w:header="0"/>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from continuing operations for the year ended December 31,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Construction-type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Maintenance contracts</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Usage-based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 contracts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Product contracts</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53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jc w:val="center"/>
        <w:ind w:left="783"/>
        <w:spacing w:after="0"/>
        <w:rPr>
          <w:sz w:val="20"/>
          <w:szCs w:val="20"/>
          <w:color w:val="auto"/>
        </w:rPr>
      </w:pPr>
      <w:r>
        <w:rPr>
          <w:rFonts w:ascii="Times New Roman" w:cs="Times New Roman" w:eastAsia="Times New Roman" w:hAnsi="Times New Roman"/>
          <w:sz w:val="18"/>
          <w:szCs w:val="18"/>
          <w:color w:val="auto"/>
        </w:rPr>
        <w:t>Total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Cost of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19050</wp:posOffset>
            </wp:positionV>
            <wp:extent cx="7073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10" w:lineRule="exact"/>
        <w:rPr>
          <w:sz w:val="20"/>
          <w:szCs w:val="20"/>
          <w:color w:val="auto"/>
        </w:rPr>
      </w:pPr>
    </w:p>
    <w:p>
      <w:pPr>
        <w:ind w:left="323"/>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8"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2"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35,137,288</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24,241,389</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269,440</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159,924</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4,863,080</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147,121</w:t>
      </w:r>
    </w:p>
    <w:p>
      <w:pPr>
        <w:spacing w:after="0" w:line="8" w:lineRule="exact"/>
        <w:rPr>
          <w:sz w:val="20"/>
          <w:szCs w:val="20"/>
          <w:color w:val="auto"/>
        </w:rPr>
      </w:pPr>
    </w:p>
    <w:p>
      <w:pPr>
        <w:ind w:left="583" w:hanging="583"/>
        <w:spacing w:after="0"/>
        <w:tabs>
          <w:tab w:leader="none" w:pos="583"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64,818,242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29845</wp:posOffset>
            </wp:positionV>
            <wp:extent cx="7073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9017" w:space="720"/>
            <w:col w:w="1403"/>
          </w:cols>
          <w:pgMar w:left="320" w:top="761" w:right="4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 classified as cost of sales from continuing operations for the year ended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recognized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Construction-type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Maintenance contracts</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Usage-based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Costs recognized at a point in time</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Product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36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 contracts</w:t>
      </w:r>
    </w:p>
    <w:p>
      <w:pPr>
        <w:spacing w:after="0" w:line="8" w:lineRule="exact"/>
        <w:rPr>
          <w:sz w:val="20"/>
          <w:szCs w:val="20"/>
          <w:color w:val="auto"/>
        </w:rPr>
      </w:pPr>
    </w:p>
    <w:p>
      <w:pPr>
        <w:jc w:val="center"/>
        <w:ind w:left="943"/>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19050</wp:posOffset>
            </wp:positionV>
            <wp:extent cx="7073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10" w:lineRule="exact"/>
        <w:rPr>
          <w:sz w:val="20"/>
          <w:szCs w:val="20"/>
          <w:color w:val="auto"/>
        </w:rPr>
      </w:pPr>
    </w:p>
    <w:p>
      <w:pPr>
        <w:ind w:left="323"/>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8"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2" w:lineRule="exact"/>
        <w:rPr>
          <w:sz w:val="20"/>
          <w:szCs w:val="20"/>
          <w:color w:val="auto"/>
        </w:rPr>
      </w:pPr>
    </w:p>
    <w:p>
      <w:pPr>
        <w:jc w:val="center"/>
        <w:ind w:right="1217"/>
        <w:spacing w:after="0"/>
        <w:rPr>
          <w:sz w:val="20"/>
          <w:szCs w:val="20"/>
          <w:color w:val="auto"/>
        </w:rPr>
      </w:pPr>
      <w:r>
        <w:rPr>
          <w:rFonts w:ascii="Arial" w:cs="Arial" w:eastAsia="Arial" w:hAnsi="Arial"/>
          <w:sz w:val="18"/>
          <w:szCs w:val="18"/>
          <w:color w:val="auto"/>
        </w:rPr>
        <w: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28,485,737</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17,830,971</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325,985</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2,588,394</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4445</wp:posOffset>
            </wp:positionV>
            <wp:extent cx="7073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ind w:left="583" w:hanging="583"/>
        <w:spacing w:after="0"/>
        <w:tabs>
          <w:tab w:leader="none" w:pos="583" w:val="left"/>
        </w:tabs>
        <w:numPr>
          <w:ilvl w:val="0"/>
          <w:numId w:val="64"/>
        </w:numPr>
        <w:rPr>
          <w:rFonts w:ascii="Arial" w:cs="Arial" w:eastAsia="Arial" w:hAnsi="Arial"/>
          <w:sz w:val="18"/>
          <w:szCs w:val="18"/>
          <w:color w:val="auto"/>
        </w:rPr>
      </w:pPr>
      <w:r>
        <w:rPr>
          <w:rFonts w:ascii="Times New Roman" w:cs="Times New Roman" w:eastAsia="Times New Roman" w:hAnsi="Times New Roman"/>
          <w:sz w:val="18"/>
          <w:szCs w:val="18"/>
          <w:color w:val="auto"/>
        </w:rPr>
        <w:t>49,281,096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12700</wp:posOffset>
            </wp:positionV>
            <wp:extent cx="7073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73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29845</wp:posOffset>
            </wp:positionV>
            <wp:extent cx="7073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17" w:space="720"/>
            <w:col w:w="1403"/>
          </w:cols>
          <w:pgMar w:left="320" w:top="761" w:right="439" w:bottom="1440" w:gutter="0" w:footer="0" w:header="0"/>
          <w:type w:val="continuous"/>
        </w:sectPr>
      </w:pP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40"/>
          </w:cols>
          <w:pgMar w:left="320" w:top="761" w:right="4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Selling, general and administrative expenses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expenses for the year ended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1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Korean</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4680" w:type="dxa"/>
            <w:vAlign w:val="bottom"/>
            <w:shd w:val="clear" w:color="auto" w:fill="CCEEFF"/>
          </w:tcPr>
          <w:p>
            <w:pPr>
              <w:ind w:left="4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46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612,759</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welfare expenses</w:t>
            </w:r>
          </w:p>
        </w:tc>
        <w:tc>
          <w:tcPr>
            <w:tcW w:w="4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46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62,694</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expenses</w:t>
            </w:r>
          </w:p>
        </w:tc>
        <w:tc>
          <w:tcPr>
            <w:tcW w:w="4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201,921</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Training expenses</w:t>
            </w:r>
          </w:p>
        </w:tc>
        <w:tc>
          <w:tcPr>
            <w:tcW w:w="46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40,891</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456,685</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Service expenses</w:t>
            </w:r>
          </w:p>
        </w:tc>
        <w:tc>
          <w:tcPr>
            <w:tcW w:w="46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572,450</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229,424</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expenses</w:t>
            </w:r>
          </w:p>
        </w:tc>
        <w:tc>
          <w:tcPr>
            <w:tcW w:w="46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25,662</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dues</w:t>
            </w:r>
          </w:p>
        </w:tc>
        <w:tc>
          <w:tcPr>
            <w:tcW w:w="4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38,243</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Vehicle maintenance expenses</w:t>
            </w:r>
          </w:p>
        </w:tc>
        <w:tc>
          <w:tcPr>
            <w:tcW w:w="46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84,153</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Event expenses</w:t>
            </w:r>
          </w:p>
        </w:tc>
        <w:tc>
          <w:tcPr>
            <w:tcW w:w="4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69,231</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expenses</w:t>
            </w:r>
          </w:p>
        </w:tc>
        <w:tc>
          <w:tcPr>
            <w:tcW w:w="4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896,524</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46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(26,345)</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6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Total</w:t>
            </w:r>
          </w:p>
        </w:tc>
        <w:tc>
          <w:tcPr>
            <w:tcW w:w="4680" w:type="dxa"/>
            <w:vAlign w:val="bottom"/>
          </w:tcPr>
          <w:p>
            <w:pPr>
              <w:ind w:left="4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14,490,164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26. Finance Income</w:t>
            </w:r>
          </w:p>
        </w:tc>
        <w:tc>
          <w:tcPr>
            <w:tcW w:w="4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280" w:type="dxa"/>
            <w:vAlign w:val="bottom"/>
            <w:vMerge w:val="continue"/>
          </w:tcPr>
          <w:p>
            <w:pPr>
              <w:spacing w:after="0"/>
              <w:rPr>
                <w:sz w:val="24"/>
                <w:szCs w:val="24"/>
                <w:color w:val="auto"/>
              </w:rPr>
            </w:pP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for the year ended December 31, 2025 is as follows: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2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1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Korean</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680" w:type="dxa"/>
            <w:vAlign w:val="bottom"/>
            <w:shd w:val="clear" w:color="auto" w:fill="CCEEFF"/>
          </w:tcPr>
          <w:p>
            <w:pPr>
              <w:ind w:left="4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113,054</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Gain on valuation of financial assets at FVTPL</w:t>
            </w:r>
          </w:p>
        </w:tc>
        <w:tc>
          <w:tcPr>
            <w:tcW w:w="46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19,796</w:t>
            </w:r>
          </w:p>
        </w:tc>
        <w:tc>
          <w:tcPr>
            <w:tcW w:w="0" w:type="dxa"/>
            <w:vAlign w:val="bottom"/>
          </w:tcPr>
          <w:p>
            <w:pPr>
              <w:spacing w:after="0"/>
              <w:rPr>
                <w:sz w:val="1"/>
                <w:szCs w:val="1"/>
                <w:color w:val="auto"/>
              </w:rPr>
            </w:pPr>
          </w:p>
        </w:tc>
      </w:tr>
      <w:tr>
        <w:trPr>
          <w:trHeight w:val="222"/>
        </w:trPr>
        <w:tc>
          <w:tcPr>
            <w:tcW w:w="5280" w:type="dxa"/>
            <w:vAlign w:val="bottom"/>
            <w:tcBorders>
              <w:top w:val="single" w:sz="8" w:color="CCEEFF"/>
              <w:bottom w:val="single" w:sz="8" w:color="CCEEFF"/>
            </w:tcBorders>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Total</w:t>
            </w:r>
          </w:p>
        </w:tc>
        <w:tc>
          <w:tcPr>
            <w:tcW w:w="4680" w:type="dxa"/>
            <w:vAlign w:val="bottom"/>
            <w:tcBorders>
              <w:top w:val="single" w:sz="8" w:color="CCEEFF"/>
              <w:bottom w:val="single" w:sz="8" w:color="CCEEFF"/>
            </w:tcBorders>
            <w:shd w:val="clear" w:color="auto" w:fill="CCEEFF"/>
          </w:tcPr>
          <w:p>
            <w:pPr>
              <w:ind w:left="43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52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 Finance Costs</w:t>
            </w:r>
          </w:p>
        </w:tc>
        <w:tc>
          <w:tcPr>
            <w:tcW w:w="4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 for the year ended December 31, 2025 are as follows:</w:t>
            </w:r>
          </w:p>
        </w:tc>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720" w:type="dxa"/>
            <w:vAlign w:val="bottom"/>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187,577</w:t>
            </w:r>
          </w:p>
        </w:tc>
        <w:tc>
          <w:tcPr>
            <w:tcW w:w="0" w:type="dxa"/>
            <w:vAlign w:val="bottom"/>
          </w:tcPr>
          <w:p>
            <w:pPr>
              <w:spacing w:after="0"/>
              <w:rPr>
                <w:sz w:val="1"/>
                <w:szCs w:val="1"/>
                <w:color w:val="auto"/>
              </w:rPr>
            </w:pPr>
          </w:p>
        </w:tc>
      </w:tr>
      <w:tr>
        <w:trPr>
          <w:trHeight w:val="43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 Other income</w:t>
            </w:r>
          </w:p>
        </w:tc>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year ended December 31, 2025 is as follows:</w:t>
            </w:r>
          </w:p>
        </w:tc>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4720" w:type="dxa"/>
            <w:vAlign w:val="bottom"/>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105,001</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4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4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27,064</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right-of-use assets</w:t>
            </w:r>
          </w:p>
        </w:tc>
        <w:tc>
          <w:tcPr>
            <w:tcW w:w="4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7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26,577</w:t>
            </w:r>
          </w:p>
        </w:tc>
        <w:tc>
          <w:tcPr>
            <w:tcW w:w="0" w:type="dxa"/>
            <w:vAlign w:val="bottom"/>
          </w:tcPr>
          <w:p>
            <w:pPr>
              <w:spacing w:after="0"/>
              <w:rPr>
                <w:sz w:val="1"/>
                <w:szCs w:val="1"/>
                <w:color w:val="auto"/>
              </w:rPr>
            </w:pPr>
          </w:p>
        </w:tc>
      </w:tr>
      <w:tr>
        <w:trPr>
          <w:trHeight w:val="208"/>
        </w:trPr>
        <w:tc>
          <w:tcPr>
            <w:tcW w:w="530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tcPr>
          <w:p>
            <w:pPr>
              <w:ind w:left="44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29. Other expenses</w:t>
            </w:r>
          </w:p>
        </w:tc>
        <w:tc>
          <w:tcPr>
            <w:tcW w:w="4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300" w:type="dxa"/>
            <w:vAlign w:val="bottom"/>
            <w:vMerge w:val="continue"/>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for the year ended December 31, 2025 are as follows:</w:t>
            </w:r>
          </w:p>
        </w:tc>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4720" w:type="dxa"/>
            <w:vAlign w:val="bottom"/>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100,005</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4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4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7,358</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Donations</w:t>
            </w:r>
          </w:p>
        </w:tc>
        <w:tc>
          <w:tcPr>
            <w:tcW w:w="4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08"/>
        </w:trPr>
        <w:tc>
          <w:tcPr>
            <w:tcW w:w="530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tcPr>
          <w:p>
            <w:pPr>
              <w:ind w:left="44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5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 Tax expense</w:t>
            </w:r>
          </w:p>
        </w:tc>
        <w:tc>
          <w:tcPr>
            <w:tcW w:w="1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Components of income tax expense</w:t>
            </w: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income tax expense for the year ended December 31, 2025 are as follows:</w:t>
            </w: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8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r>
      <w:tr>
        <w:trPr>
          <w:trHeight w:val="186"/>
        </w:trPr>
        <w:tc>
          <w:tcPr>
            <w:tcW w:w="8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8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8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9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00" w:type="dxa"/>
            <w:vAlign w:val="bottom"/>
            <w:shd w:val="clear" w:color="auto" w:fill="CCEEFF"/>
          </w:tcPr>
          <w:p>
            <w:pPr>
              <w:spacing w:after="0"/>
              <w:rPr>
                <w:sz w:val="18"/>
                <w:szCs w:val="18"/>
                <w:color w:val="auto"/>
              </w:rPr>
            </w:pPr>
          </w:p>
        </w:tc>
      </w:tr>
      <w:tr>
        <w:trPr>
          <w:trHeight w:val="215"/>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19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137,119</w:t>
            </w:r>
          </w:p>
        </w:tc>
      </w:tr>
      <w:tr>
        <w:trPr>
          <w:trHeight w:val="215"/>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Arising from origination and reversal of temporary differences</w:t>
            </w:r>
          </w:p>
        </w:tc>
        <w:tc>
          <w:tcPr>
            <w:tcW w:w="1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50,959</w:t>
            </w:r>
          </w:p>
        </w:tc>
      </w:tr>
      <w:tr>
        <w:trPr>
          <w:trHeight w:val="215"/>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Recognized directly in equity</w:t>
            </w:r>
          </w:p>
        </w:tc>
        <w:tc>
          <w:tcPr>
            <w:tcW w:w="19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86,160</w:t>
            </w:r>
          </w:p>
        </w:tc>
      </w:tr>
      <w:tr>
        <w:trPr>
          <w:trHeight w:val="215"/>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148,134</w:t>
            </w: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Tax reconciliation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between accounting profit and income tax expense from continuing operations for the year ended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r>
      <w:tr>
        <w:trPr>
          <w:trHeight w:val="186"/>
        </w:trPr>
        <w:tc>
          <w:tcPr>
            <w:tcW w:w="53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16"/>
                <w:szCs w:val="16"/>
                <w:color w:val="auto"/>
              </w:rPr>
            </w:pPr>
          </w:p>
        </w:tc>
      </w:tr>
      <w:tr>
        <w:trPr>
          <w:trHeight w:val="215"/>
        </w:trPr>
        <w:tc>
          <w:tcPr>
            <w:tcW w:w="53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53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income tax</w:t>
            </w:r>
          </w:p>
        </w:tc>
        <w:tc>
          <w:tcPr>
            <w:tcW w:w="4600" w:type="dxa"/>
            <w:vAlign w:val="bottom"/>
            <w:shd w:val="clear" w:color="auto" w:fill="CCEEFF"/>
          </w:tcPr>
          <w:p>
            <w:pPr>
              <w:ind w:left="4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1,043,812</w:t>
            </w:r>
          </w:p>
        </w:tc>
      </w:tr>
      <w:tr>
        <w:trPr>
          <w:trHeight w:val="215"/>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at applicable tax rate</w:t>
            </w:r>
          </w:p>
        </w:tc>
        <w:tc>
          <w:tcPr>
            <w:tcW w:w="46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174,817</w:t>
            </w:r>
          </w:p>
        </w:tc>
      </w:tr>
      <w:tr>
        <w:trPr>
          <w:trHeight w:val="21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Non-deductible expenses for tax purposes</w:t>
            </w:r>
          </w:p>
        </w:tc>
        <w:tc>
          <w:tcPr>
            <w:tcW w:w="46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58,966</w:t>
            </w:r>
          </w:p>
        </w:tc>
      </w:tr>
      <w:tr>
        <w:trPr>
          <w:trHeight w:val="215"/>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unrecognized temporary differences</w:t>
            </w:r>
          </w:p>
        </w:tc>
        <w:tc>
          <w:tcPr>
            <w:tcW w:w="4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(67,711)</w:t>
            </w:r>
          </w:p>
        </w:tc>
      </w:tr>
      <w:tr>
        <w:trPr>
          <w:trHeight w:val="215"/>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tax payments</w:t>
            </w:r>
          </w:p>
        </w:tc>
        <w:tc>
          <w:tcPr>
            <w:tcW w:w="46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credits</w:t>
            </w:r>
          </w:p>
        </w:tc>
        <w:tc>
          <w:tcPr>
            <w:tcW w:w="4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(31,594)</w:t>
            </w:r>
          </w:p>
        </w:tc>
      </w:tr>
      <w:tr>
        <w:trPr>
          <w:trHeight w:val="215"/>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Others (e.g., tax rate differences)</w:t>
            </w:r>
          </w:p>
        </w:tc>
        <w:tc>
          <w:tcPr>
            <w:tcW w:w="46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13,656</w:t>
            </w:r>
          </w:p>
        </w:tc>
      </w:tr>
      <w:tr>
        <w:trPr>
          <w:trHeight w:val="215"/>
        </w:trPr>
        <w:tc>
          <w:tcPr>
            <w:tcW w:w="5360" w:type="dxa"/>
            <w:vAlign w:val="bottom"/>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Subtotal</w:t>
            </w:r>
          </w:p>
        </w:tc>
        <w:tc>
          <w:tcPr>
            <w:tcW w:w="4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(26,683)</w:t>
            </w:r>
          </w:p>
        </w:tc>
      </w:tr>
      <w:tr>
        <w:trPr>
          <w:trHeight w:val="248"/>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0" w:type="dxa"/>
            <w:vAlign w:val="bottom"/>
            <w:tcBorders>
              <w:bottom w:val="single" w:sz="8" w:color="CCEEFF"/>
            </w:tcBorders>
          </w:tcPr>
          <w:p>
            <w:pPr>
              <w:ind w:left="43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148,134</w:t>
            </w:r>
          </w:p>
        </w:tc>
        <w:tc>
          <w:tcPr>
            <w:tcW w:w="160" w:type="dxa"/>
            <w:vAlign w:val="bottom"/>
            <w:tcBorders>
              <w:bottom w:val="single" w:sz="8" w:color="CCEEFF"/>
            </w:tcBorders>
          </w:tcPr>
          <w:p>
            <w:pPr>
              <w:spacing w:after="0"/>
              <w:rPr>
                <w:sz w:val="21"/>
                <w:szCs w:val="21"/>
                <w:color w:val="auto"/>
              </w:rPr>
            </w:pPr>
          </w:p>
        </w:tc>
      </w:tr>
      <w:tr>
        <w:trPr>
          <w:trHeight w:val="195"/>
        </w:trPr>
        <w:tc>
          <w:tcPr>
            <w:tcW w:w="5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Effective tax rate</w:t>
            </w:r>
          </w:p>
        </w:tc>
        <w:tc>
          <w:tcPr>
            <w:tcW w:w="46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14.19%</w:t>
            </w:r>
          </w:p>
        </w:tc>
      </w:tr>
      <w:tr>
        <w:trPr>
          <w:trHeight w:val="557"/>
        </w:trPr>
        <w:tc>
          <w:tcPr>
            <w:tcW w:w="53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right"/>
              <w:ind w:right="4151"/>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Deferred tax assets and liabilities</w:t>
      </w:r>
    </w:p>
    <w:p>
      <w:pPr>
        <w:sectPr>
          <w:pgSz w:w="11900" w:h="16838" w:orient="portrait"/>
          <w:cols w:equalWidth="0" w:num="1">
            <w:col w:w="11240"/>
          </w:cols>
          <w:pgMar w:left="320" w:top="761" w:right="339" w:bottom="1440" w:gutter="0" w:footer="0" w:header="0"/>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tax assets and liabilities as of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be recovered after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1447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To be recovered within 12 months</w:t>
      </w:r>
    </w:p>
    <w:p>
      <w:pPr>
        <w:spacing w:after="0" w:line="8" w:lineRule="exact"/>
        <w:rPr>
          <w:sz w:val="20"/>
          <w:szCs w:val="20"/>
          <w:color w:val="auto"/>
        </w:rPr>
      </w:pPr>
    </w:p>
    <w:p>
      <w:pPr>
        <w:jc w:val="center"/>
        <w:ind w:left="783"/>
        <w:spacing w:after="0"/>
        <w:rPr>
          <w:sz w:val="20"/>
          <w:szCs w:val="20"/>
          <w:color w:val="auto"/>
        </w:rPr>
      </w:pPr>
      <w:r>
        <w:rPr>
          <w:rFonts w:ascii="Times New Roman" w:cs="Times New Roman" w:eastAsia="Times New Roman" w:hAnsi="Times New Roman"/>
          <w:sz w:val="18"/>
          <w:szCs w:val="18"/>
          <w:color w:val="auto"/>
        </w:rPr>
        <w:t>Subtotal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536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be settled after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44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be settled within 12 months</w:t>
      </w:r>
    </w:p>
    <w:p>
      <w:pPr>
        <w:spacing w:after="0" w:line="8" w:lineRule="exact"/>
        <w:rPr>
          <w:sz w:val="20"/>
          <w:szCs w:val="20"/>
          <w:color w:val="auto"/>
        </w:rPr>
      </w:pPr>
    </w:p>
    <w:p>
      <w:pPr>
        <w:jc w:val="center"/>
        <w:ind w:left="783"/>
        <w:spacing w:after="0"/>
        <w:rPr>
          <w:sz w:val="20"/>
          <w:szCs w:val="20"/>
          <w:color w:val="auto"/>
        </w:rPr>
      </w:pPr>
      <w:r>
        <w:rPr>
          <w:rFonts w:ascii="Times New Roman" w:cs="Times New Roman" w:eastAsia="Times New Roman" w:hAnsi="Times New Roman"/>
          <w:sz w:val="18"/>
          <w:szCs w:val="18"/>
          <w:color w:val="auto"/>
        </w:rPr>
        <w:t>Subtotal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2955" cy="1536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deferred tax assets and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0"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4445</wp:posOffset>
            </wp:positionV>
            <wp:extent cx="7073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of Korean</w:t>
      </w:r>
    </w:p>
    <w:p>
      <w:pPr>
        <w:spacing w:after="0" w:line="8"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won)</w:t>
      </w:r>
    </w:p>
    <w:p>
      <w:pPr>
        <w:spacing w:after="0" w:line="20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4,512,415</w:t>
      </w:r>
    </w:p>
    <w:p>
      <w:pPr>
        <w:spacing w:after="0" w:line="2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13335</wp:posOffset>
            </wp:positionV>
            <wp:extent cx="7073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4,791,109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13335</wp:posOffset>
            </wp:positionV>
            <wp:extent cx="7073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23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(2,486,227)</w:t>
      </w:r>
    </w:p>
    <w:p>
      <w:pPr>
        <w:spacing w:after="0" w:line="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(22,666)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13335</wp:posOffset>
            </wp:positionV>
            <wp:extent cx="7073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(2,508,893)</w:t>
      </w:r>
    </w:p>
    <w:p>
      <w:pPr>
        <w:spacing w:after="0" w:line="21" w:lineRule="exact"/>
        <w:rPr>
          <w:sz w:val="20"/>
          <w:szCs w:val="20"/>
          <w:color w:val="auto"/>
        </w:rPr>
      </w:pPr>
    </w:p>
    <w:p>
      <w:pPr>
        <w:ind w:left="683" w:hanging="683"/>
        <w:spacing w:after="0"/>
        <w:tabs>
          <w:tab w:leader="none" w:pos="683" w:val="left"/>
        </w:tabs>
        <w:numPr>
          <w:ilvl w:val="0"/>
          <w:numId w:val="65"/>
        </w:numPr>
        <w:rPr>
          <w:rFonts w:ascii="Arial" w:cs="Arial" w:eastAsia="Arial" w:hAnsi="Arial"/>
          <w:sz w:val="18"/>
          <w:szCs w:val="18"/>
          <w:color w:val="auto"/>
        </w:rPr>
      </w:pPr>
      <w:r>
        <w:rPr>
          <w:rFonts w:ascii="Times New Roman" w:cs="Times New Roman" w:eastAsia="Times New Roman" w:hAnsi="Times New Roman"/>
          <w:sz w:val="18"/>
          <w:szCs w:val="18"/>
          <w:color w:val="auto"/>
        </w:rPr>
        <w:t>2,282,216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29845</wp:posOffset>
            </wp:positionV>
            <wp:extent cx="7073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9017" w:space="720"/>
            <w:col w:w="1503"/>
          </w:cols>
          <w:pgMar w:left="320" w:top="761" w:right="339" w:bottom="1440" w:gutter="0" w:footer="0" w:header="0"/>
          <w:type w:val="continuous"/>
        </w:sectPr>
      </w:pPr>
    </w:p>
    <w:p>
      <w:pPr>
        <w:spacing w:after="0" w:line="2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Changes in deferred tax assets (liabilities) recognized in the consolidated statement of financial position for the year ended December 31, 2025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5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Changes</w:t>
            </w:r>
          </w:p>
        </w:tc>
        <w:tc>
          <w:tcPr>
            <w:tcW w:w="11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100" w:type="dxa"/>
            <w:vAlign w:val="bottom"/>
          </w:tcPr>
          <w:p>
            <w:pPr>
              <w:spacing w:after="0"/>
              <w:rPr>
                <w:sz w:val="18"/>
                <w:szCs w:val="18"/>
                <w:color w:val="auto"/>
              </w:rPr>
            </w:pPr>
          </w:p>
        </w:tc>
      </w:tr>
      <w:tr>
        <w:trPr>
          <w:trHeight w:val="208"/>
        </w:trPr>
        <w:tc>
          <w:tcPr>
            <w:tcW w:w="5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related to temporary differences:</w:t>
            </w:r>
          </w:p>
        </w:tc>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1840" w:type="dxa"/>
            <w:vAlign w:val="bottom"/>
          </w:tcPr>
          <w:p>
            <w:pPr>
              <w:ind w:left="1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159,009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92,760</w:t>
            </w: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156,142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152,446</w:t>
            </w: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115,501</w:t>
            </w: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8,842</w:t>
            </w: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receivable</w:t>
            </w:r>
          </w:p>
        </w:tc>
        <w:tc>
          <w:tcPr>
            <w:tcW w:w="18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184,896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264,021</w:t>
            </w: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8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(27,758)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(35,745)</w:t>
            </w: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1,143,037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1,143,037</w:t>
            </w:r>
          </w:p>
        </w:tc>
        <w:tc>
          <w:tcPr>
            <w:tcW w:w="100" w:type="dxa"/>
            <w:vAlign w:val="bottom"/>
            <w:shd w:val="clear" w:color="auto" w:fill="CCEEFF"/>
          </w:tcPr>
          <w:p>
            <w:pPr>
              <w:spacing w:after="0"/>
              <w:rPr>
                <w:sz w:val="18"/>
                <w:szCs w:val="18"/>
                <w:color w:val="auto"/>
              </w:rPr>
            </w:pP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18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Provisions</w:t>
            </w:r>
          </w:p>
        </w:tc>
        <w:tc>
          <w:tcPr>
            <w:tcW w:w="1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176,058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124,829</w:t>
            </w: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Present value discount on guarantee deposits</w:t>
            </w:r>
          </w:p>
        </w:tc>
        <w:tc>
          <w:tcPr>
            <w:tcW w:w="18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5,347</w:t>
            </w: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Others</w:t>
            </w:r>
          </w:p>
        </w:tc>
        <w:tc>
          <w:tcPr>
            <w:tcW w:w="1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13,238</w:t>
            </w:r>
          </w:p>
        </w:tc>
      </w:tr>
      <w:tr>
        <w:trPr>
          <w:trHeight w:val="248"/>
        </w:trPr>
        <w:tc>
          <w:tcPr>
            <w:tcW w:w="5520" w:type="dxa"/>
            <w:vAlign w:val="bottom"/>
            <w:tcBorders>
              <w:bottom w:val="single" w:sz="8" w:color="CCEEFF"/>
            </w:tcBorders>
          </w:tcPr>
          <w:p>
            <w:pPr>
              <w:ind w:left="3360"/>
              <w:spacing w:after="0"/>
              <w:rPr>
                <w:sz w:val="20"/>
                <w:szCs w:val="20"/>
                <w:color w:val="auto"/>
              </w:rPr>
            </w:pPr>
            <w:r>
              <w:rPr>
                <w:rFonts w:ascii="Times New Roman" w:cs="Times New Roman" w:eastAsia="Times New Roman" w:hAnsi="Times New Roman"/>
                <w:sz w:val="18"/>
                <w:szCs w:val="18"/>
                <w:color w:val="auto"/>
              </w:rPr>
              <w:t>Subtotal</w:t>
            </w:r>
          </w:p>
        </w:tc>
        <w:tc>
          <w:tcPr>
            <w:tcW w:w="18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1,869,060</w:t>
            </w:r>
          </w:p>
        </w:tc>
        <w:tc>
          <w:tcPr>
            <w:tcW w:w="22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22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1,884,076</w:t>
            </w:r>
          </w:p>
        </w:tc>
        <w:tc>
          <w:tcPr>
            <w:tcW w:w="100" w:type="dxa"/>
            <w:vAlign w:val="bottom"/>
            <w:tcBorders>
              <w:bottom w:val="single" w:sz="8" w:color="CCEEFF"/>
            </w:tcBorders>
          </w:tcPr>
          <w:p>
            <w:pPr>
              <w:spacing w:after="0"/>
              <w:rPr>
                <w:sz w:val="21"/>
                <w:szCs w:val="21"/>
                <w:color w:val="auto"/>
              </w:rPr>
            </w:pPr>
          </w:p>
        </w:tc>
      </w:tr>
      <w:tr>
        <w:trPr>
          <w:trHeight w:val="195"/>
        </w:trPr>
        <w:tc>
          <w:tcPr>
            <w:tcW w:w="55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Tax loss carryforwards</w:t>
            </w:r>
          </w:p>
        </w:tc>
        <w:tc>
          <w:tcPr>
            <w:tcW w:w="18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1,859,942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(16,746)</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1,843,196</w:t>
            </w:r>
          </w:p>
        </w:tc>
        <w:tc>
          <w:tcPr>
            <w:tcW w:w="100" w:type="dxa"/>
            <w:vAlign w:val="bottom"/>
            <w:shd w:val="clear" w:color="auto" w:fill="CCEEFF"/>
          </w:tcPr>
          <w:p>
            <w:pPr>
              <w:spacing w:after="0"/>
              <w:rPr>
                <w:sz w:val="16"/>
                <w:szCs w:val="16"/>
                <w:color w:val="auto"/>
              </w:rPr>
            </w:pP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840" w:type="dxa"/>
            <w:vAlign w:val="bottom"/>
          </w:tcPr>
          <w:p>
            <w:pPr>
              <w:ind w:left="1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326,368</w:t>
            </w: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Unrecognized deferred tax assets (*)</w:t>
            </w:r>
          </w:p>
        </w:tc>
        <w:tc>
          <w:tcPr>
            <w:tcW w:w="1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(1,723,926)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(47,498)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(1,771,424)</w:t>
            </w:r>
          </w:p>
        </w:tc>
      </w:tr>
      <w:tr>
        <w:trPr>
          <w:trHeight w:val="233"/>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Recognized deferred tax assets</w:t>
            </w:r>
          </w:p>
        </w:tc>
        <w:tc>
          <w:tcPr>
            <w:tcW w:w="18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2,333,174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(50,958)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2,282,216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17811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185" w:lineRule="exact"/>
        <w:rPr>
          <w:sz w:val="20"/>
          <w:szCs w:val="20"/>
          <w:color w:val="auto"/>
        </w:rPr>
      </w:pPr>
    </w:p>
    <w:p>
      <w:pPr>
        <w:ind w:left="320" w:hanging="313"/>
        <w:spacing w:after="0" w:line="279"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realizability of deferred tax assets is assessed based on various factors, including the Group’s performance, overall economic conditions, industry outlook, and expected future taxable income.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  Deferred tax recognized in equity</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recognized directly in equity for the year ended December 31, 2025 is as follows: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6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6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Before Tax</w:t>
            </w:r>
          </w:p>
        </w:tc>
        <w:tc>
          <w:tcPr>
            <w:tcW w:w="13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Tax Effect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After Tax</w:t>
            </w:r>
          </w:p>
        </w:tc>
        <w:tc>
          <w:tcPr>
            <w:tcW w:w="100" w:type="dxa"/>
            <w:vAlign w:val="bottom"/>
          </w:tcPr>
          <w:p>
            <w:pPr>
              <w:spacing w:after="0"/>
              <w:rPr>
                <w:sz w:val="18"/>
                <w:szCs w:val="18"/>
                <w:color w:val="auto"/>
              </w:rPr>
            </w:pPr>
          </w:p>
        </w:tc>
      </w:tr>
      <w:tr>
        <w:trPr>
          <w:trHeight w:val="208"/>
        </w:trPr>
        <w:tc>
          <w:tcPr>
            <w:tcW w:w="6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Remeasurements of defined benefit obligations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(430,266)</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86,160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(344,105)</w:t>
            </w:r>
          </w:p>
        </w:tc>
      </w:tr>
      <w:tr>
        <w:trPr>
          <w:trHeight w:val="43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  Unrecognized deferred tax assets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Significant temporary differences for which deferred tax assets have not been recognized as of December 31, 2025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6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6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6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6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6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differences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309,044</w:t>
            </w: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Temporary differences – allowance for doubtful accounts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686,541</w:t>
            </w: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Temporary differences – investments in subsidiaries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5,469,074</w:t>
            </w:r>
          </w:p>
        </w:tc>
        <w:tc>
          <w:tcPr>
            <w:tcW w:w="100" w:type="dxa"/>
            <w:vAlign w:val="bottom"/>
            <w:shd w:val="clear" w:color="auto" w:fill="CCEEFF"/>
          </w:tcPr>
          <w:p>
            <w:pPr>
              <w:spacing w:after="0"/>
              <w:rPr>
                <w:sz w:val="18"/>
                <w:szCs w:val="18"/>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Tax loss carryforwards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3,570,131</w:t>
            </w:r>
          </w:p>
        </w:tc>
        <w:tc>
          <w:tcPr>
            <w:tcW w:w="100" w:type="dxa"/>
            <w:vAlign w:val="bottom"/>
          </w:tcPr>
          <w:p>
            <w:pPr>
              <w:spacing w:after="0"/>
              <w:rPr>
                <w:sz w:val="18"/>
                <w:szCs w:val="18"/>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58,190</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Expiry of tax losses and tax credits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Expiry of tax loss carryforwards and tax credits for which deferred tax assets have not been recognized as of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3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500" w:type="dxa"/>
            <w:vAlign w:val="bottom"/>
            <w:gridSpan w:val="2"/>
          </w:tcPr>
          <w:p>
            <w:pPr>
              <w:jc w:val="center"/>
              <w:ind w:left="10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32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Borders>
              <w:top w:val="single" w:sz="8" w:color="auto"/>
            </w:tcBorders>
          </w:tcPr>
          <w:p>
            <w:pPr>
              <w:jc w:val="center"/>
              <w:ind w:right="211"/>
              <w:spacing w:after="0" w:line="186" w:lineRule="exact"/>
              <w:rPr>
                <w:sz w:val="20"/>
                <w:szCs w:val="20"/>
                <w:color w:val="auto"/>
              </w:rPr>
            </w:pPr>
            <w:r>
              <w:rPr>
                <w:rFonts w:ascii="Times New Roman" w:cs="Times New Roman" w:eastAsia="Times New Roman" w:hAnsi="Times New Roman"/>
                <w:sz w:val="18"/>
                <w:szCs w:val="18"/>
                <w:b w:val="1"/>
                <w:bCs w:val="1"/>
                <w:color w:val="auto"/>
                <w:w w:val="94"/>
              </w:rPr>
              <w:t>Tax Loss</w:t>
            </w: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32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50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Carryforwards</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Tax Credits</w:t>
            </w:r>
          </w:p>
        </w:tc>
      </w:tr>
      <w:tr>
        <w:trPr>
          <w:trHeight w:val="208"/>
        </w:trPr>
        <w:tc>
          <w:tcPr>
            <w:tcW w:w="32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3 years</w:t>
            </w:r>
          </w:p>
        </w:tc>
        <w:tc>
          <w:tcPr>
            <w:tcW w:w="5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3,570,131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58,190</w:t>
            </w:r>
          </w:p>
        </w:tc>
      </w:tr>
      <w:tr>
        <w:trPr>
          <w:trHeight w:val="557"/>
        </w:trPr>
        <w:tc>
          <w:tcPr>
            <w:tcW w:w="32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jc w:val="right"/>
              <w:ind w:right="2791"/>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Expenses by nature</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Expenses classified by nature for the year ended December 31, 2025 are as follows:</w:t>
            </w: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9"/>
        </w:trPr>
        <w:tc>
          <w:tcPr>
            <w:tcW w:w="6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6"/>
        </w:trPr>
        <w:tc>
          <w:tcPr>
            <w:tcW w:w="6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rPr>
              <w:t>Selling and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6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administrative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6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6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gridSpan w:val="2"/>
          </w:tcPr>
          <w:p>
            <w:pPr>
              <w:spacing w:after="0"/>
              <w:rPr>
                <w:sz w:val="18"/>
                <w:szCs w:val="18"/>
                <w:color w:val="auto"/>
              </w:rPr>
            </w:pPr>
          </w:p>
        </w:tc>
      </w:tr>
      <w:tr>
        <w:trPr>
          <w:trHeight w:val="21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inventories and purchases</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14,242,834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14,242,834</w:t>
            </w:r>
          </w:p>
        </w:tc>
        <w:tc>
          <w:tcPr>
            <w:tcW w:w="80" w:type="dxa"/>
            <w:vAlign w:val="bottom"/>
            <w:shd w:val="clear" w:color="auto" w:fill="CCEEFF"/>
          </w:tcPr>
          <w:p>
            <w:pPr>
              <w:spacing w:after="0"/>
              <w:rPr>
                <w:sz w:val="18"/>
                <w:szCs w:val="18"/>
                <w:color w:val="auto"/>
              </w:rPr>
            </w:pPr>
          </w:p>
        </w:tc>
      </w:tr>
      <w:tr>
        <w:trPr>
          <w:trHeight w:val="21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8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9,180,670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9,317,868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18,498,538</w:t>
            </w:r>
          </w:p>
        </w:tc>
        <w:tc>
          <w:tcPr>
            <w:tcW w:w="80" w:type="dxa"/>
            <w:vAlign w:val="bottom"/>
          </w:tcPr>
          <w:p>
            <w:pPr>
              <w:spacing w:after="0"/>
              <w:rPr>
                <w:sz w:val="18"/>
                <w:szCs w:val="18"/>
                <w:color w:val="auto"/>
              </w:rPr>
            </w:pPr>
          </w:p>
        </w:tc>
      </w:tr>
      <w:tr>
        <w:trPr>
          <w:trHeight w:val="21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welfare expenses</w:t>
            </w: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1,198,120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1,256,004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770,556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544,465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231,757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246,413</w:t>
            </w:r>
          </w:p>
        </w:tc>
        <w:tc>
          <w:tcPr>
            <w:tcW w:w="80" w:type="dxa"/>
            <w:vAlign w:val="bottom"/>
            <w:shd w:val="clear" w:color="auto" w:fill="CCEEFF"/>
          </w:tcPr>
          <w:p>
            <w:pPr>
              <w:spacing w:after="0"/>
              <w:rPr>
                <w:sz w:val="18"/>
                <w:szCs w:val="18"/>
                <w:color w:val="auto"/>
              </w:rPr>
            </w:pPr>
          </w:p>
        </w:tc>
      </w:tr>
      <w:tr>
        <w:trPr>
          <w:trHeight w:val="21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8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304,126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304,126</w:t>
            </w:r>
          </w:p>
        </w:tc>
        <w:tc>
          <w:tcPr>
            <w:tcW w:w="80" w:type="dxa"/>
            <w:vAlign w:val="bottom"/>
          </w:tcPr>
          <w:p>
            <w:pPr>
              <w:spacing w:after="0"/>
              <w:rPr>
                <w:sz w:val="18"/>
                <w:szCs w:val="18"/>
                <w:color w:val="auto"/>
              </w:rPr>
            </w:pPr>
          </w:p>
        </w:tc>
      </w:tr>
      <w:tr>
        <w:trPr>
          <w:trHeight w:val="21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Outsourcing expenses</w:t>
            </w: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16,076,231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596,218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16,672,449</w:t>
            </w:r>
          </w:p>
        </w:tc>
        <w:tc>
          <w:tcPr>
            <w:tcW w:w="80" w:type="dxa"/>
            <w:vAlign w:val="bottom"/>
            <w:shd w:val="clear" w:color="auto" w:fill="CCEEFF"/>
          </w:tcPr>
          <w:p>
            <w:pPr>
              <w:spacing w:after="0"/>
              <w:rPr>
                <w:sz w:val="18"/>
                <w:szCs w:val="18"/>
                <w:color w:val="auto"/>
              </w:rPr>
            </w:pPr>
          </w:p>
        </w:tc>
      </w:tr>
      <w:tr>
        <w:trPr>
          <w:trHeight w:val="21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Commission expenses</w:t>
            </w:r>
          </w:p>
        </w:tc>
        <w:tc>
          <w:tcPr>
            <w:tcW w:w="8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6,985,658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864,423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812,371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1,375,303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65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49,281,096</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14,490,164</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63,771,260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Share-based Payments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 operates share-based payment arrangements for its executives and employees. Share options granted to employees are settled in shares of the Group upon exercise. No consideration is paid or payable by employees when share options are granted. The share options do not carry rights to dividends or voting rights and can be exercised during the exercisable period.</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Share-based payment arrangements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share-based payment arrangements as of December 31, 2025 are as follows:</w:t>
      </w:r>
    </w:p>
    <w:p>
      <w:pPr>
        <w:spacing w:after="0" w:line="222" w:lineRule="exact"/>
        <w:rPr>
          <w:sz w:val="20"/>
          <w:szCs w:val="20"/>
          <w:color w:val="auto"/>
        </w:rPr>
      </w:pPr>
    </w:p>
    <w:p>
      <w:pPr>
        <w:ind w:left="660" w:hanging="331"/>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8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1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Fair Value at</w:t>
            </w:r>
          </w:p>
        </w:tc>
        <w:tc>
          <w:tcPr>
            <w:tcW w:w="156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Valuation</w:t>
            </w:r>
          </w:p>
        </w:tc>
        <w:tc>
          <w:tcPr>
            <w:tcW w:w="14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0" w:type="dxa"/>
            <w:vAlign w:val="bottom"/>
          </w:tcPr>
          <w:p>
            <w:pPr>
              <w:spacing w:after="0"/>
              <w:rPr>
                <w:sz w:val="1"/>
                <w:szCs w:val="1"/>
                <w:color w:val="auto"/>
              </w:rPr>
            </w:pPr>
          </w:p>
        </w:tc>
      </w:tr>
      <w:tr>
        <w:trPr>
          <w:trHeight w:val="172"/>
        </w:trPr>
        <w:tc>
          <w:tcPr>
            <w:tcW w:w="21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gridSpan w:val="2"/>
            <w:vMerge w:val="continue"/>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Share options granted to key</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2024.03.24 ~</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Binomial model</w:t>
            </w: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Equity-settled</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60"/>
              <w:spacing w:after="0" w:line="148" w:lineRule="exact"/>
              <w:rPr>
                <w:sz w:val="20"/>
                <w:szCs w:val="20"/>
                <w:color w:val="auto"/>
              </w:rPr>
            </w:pPr>
            <w:r>
              <w:rPr>
                <w:rFonts w:ascii="Times New Roman" w:cs="Times New Roman" w:eastAsia="Times New Roman" w:hAnsi="Times New Roman"/>
                <w:sz w:val="14"/>
                <w:szCs w:val="14"/>
                <w:color w:val="auto"/>
              </w:rPr>
              <w:t>management - 18th grant (*)</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2021.03.24</w:t>
            </w:r>
          </w:p>
        </w:tc>
        <w:tc>
          <w:tcPr>
            <w:tcW w:w="24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85,100</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3,552</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LSMC model (Least-</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2026.03.23</w:t>
            </w:r>
          </w:p>
        </w:tc>
        <w:tc>
          <w:tcPr>
            <w:tcW w:w="2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Squares Monte Carlo)</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jc w:val="both"/>
        <w:ind w:left="320" w:hanging="313"/>
        <w:spacing w:after="0" w:line="264" w:lineRule="auto"/>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become exercisable if the closing price for each of the 10 trading days immediately preceding the commencement date of the exercisable period is equal to or exceeds 130% of the exercise price, or if the closing price for each of 10 consecutive trading days during the exercisable period is equal to or exceeds 130% of the exercise price.</w:t>
      </w:r>
    </w:p>
    <w:p>
      <w:pPr>
        <w:spacing w:after="0" w:line="17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Subsidiary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8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1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Fair Value at</w:t>
            </w:r>
          </w:p>
        </w:tc>
        <w:tc>
          <w:tcPr>
            <w:tcW w:w="156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Valuation</w:t>
            </w:r>
          </w:p>
        </w:tc>
        <w:tc>
          <w:tcPr>
            <w:tcW w:w="14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0" w:type="dxa"/>
            <w:vAlign w:val="bottom"/>
          </w:tcPr>
          <w:p>
            <w:pPr>
              <w:spacing w:after="0"/>
              <w:rPr>
                <w:sz w:val="1"/>
                <w:szCs w:val="1"/>
                <w:color w:val="auto"/>
              </w:rPr>
            </w:pPr>
          </w:p>
        </w:tc>
      </w:tr>
      <w:tr>
        <w:trPr>
          <w:trHeight w:val="172"/>
        </w:trPr>
        <w:tc>
          <w:tcPr>
            <w:tcW w:w="21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gridSpan w:val="2"/>
            <w:vMerge w:val="continue"/>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Share options granted to</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2024.03.22 ~</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Binomial model</w:t>
            </w: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Equity-settled</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60"/>
              <w:spacing w:after="0" w:line="148" w:lineRule="exact"/>
              <w:rPr>
                <w:sz w:val="20"/>
                <w:szCs w:val="20"/>
                <w:color w:val="auto"/>
              </w:rPr>
            </w:pPr>
            <w:r>
              <w:rPr>
                <w:rFonts w:ascii="Times New Roman" w:cs="Times New Roman" w:eastAsia="Times New Roman" w:hAnsi="Times New Roman"/>
                <w:sz w:val="14"/>
                <w:szCs w:val="14"/>
                <w:color w:val="auto"/>
              </w:rPr>
              <w:t>executives and employees - 1st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2022.03.22</w:t>
            </w:r>
          </w:p>
        </w:tc>
        <w:tc>
          <w:tcPr>
            <w:tcW w:w="24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210</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710,000</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372,192</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grant</w:t>
            </w:r>
          </w:p>
        </w:tc>
        <w:tc>
          <w:tcPr>
            <w:tcW w:w="9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2027.03.21</w:t>
            </w:r>
          </w:p>
        </w:tc>
        <w:tc>
          <w:tcPr>
            <w:tcW w:w="2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Valuation assumptions for share options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techniques and key assumptions used in measuring the fair value of share options granted as of December 31, 2025 are as follows:</w:t>
      </w:r>
    </w:p>
    <w:p>
      <w:pPr>
        <w:spacing w:after="0" w:line="222" w:lineRule="exact"/>
        <w:rPr>
          <w:sz w:val="20"/>
          <w:szCs w:val="20"/>
          <w:color w:val="auto"/>
        </w:rPr>
      </w:pPr>
    </w:p>
    <w:p>
      <w:pPr>
        <w:ind w:left="660" w:hanging="331"/>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Company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 Options</w:t>
            </w:r>
          </w:p>
        </w:tc>
      </w:tr>
      <w:tr>
        <w:trPr>
          <w:trHeight w:val="237"/>
        </w:trPr>
        <w:tc>
          <w:tcPr>
            <w:tcW w:w="6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(18th grant)</w:t>
            </w:r>
          </w:p>
        </w:tc>
      </w:tr>
      <w:tr>
        <w:trPr>
          <w:trHeight w:val="208"/>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37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r>
      <w:tr>
        <w:trPr>
          <w:trHeight w:val="21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 years</w:t>
            </w:r>
          </w:p>
        </w:tc>
      </w:tr>
      <w:tr>
        <w:trPr>
          <w:trHeight w:val="21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46.00%</w:t>
            </w:r>
          </w:p>
        </w:tc>
      </w:tr>
      <w:tr>
        <w:trPr>
          <w:trHeight w:val="21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0"/>
        </w:trPr>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w:t>
            </w:r>
          </w:p>
        </w:tc>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 Options</w:t>
            </w:r>
          </w:p>
        </w:tc>
      </w:tr>
      <w:tr>
        <w:trPr>
          <w:trHeight w:val="237"/>
        </w:trPr>
        <w:tc>
          <w:tcPr>
            <w:tcW w:w="6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(1st grant)</w:t>
            </w:r>
          </w:p>
        </w:tc>
      </w:tr>
      <w:tr>
        <w:trPr>
          <w:trHeight w:val="208"/>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37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r>
      <w:tr>
        <w:trPr>
          <w:trHeight w:val="21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 years</w:t>
            </w:r>
          </w:p>
        </w:tc>
      </w:tr>
      <w:tr>
        <w:trPr>
          <w:trHeight w:val="21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51.00%</w:t>
            </w:r>
          </w:p>
        </w:tc>
      </w:tr>
      <w:tr>
        <w:trPr>
          <w:trHeight w:val="21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  Changes in share options and exercise prices</w:t>
            </w:r>
          </w:p>
        </w:tc>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Changes in the number of share options and the weighted average exercise prices for the year ended December 31, 2025 are as follows: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Parent Company</w:t>
            </w:r>
          </w:p>
        </w:tc>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6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7"/>
        </w:trPr>
        <w:tc>
          <w:tcPr>
            <w:tcW w:w="6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12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186"/>
        </w:trPr>
        <w:tc>
          <w:tcPr>
            <w:tcW w:w="6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740" w:type="dxa"/>
            <w:vAlign w:val="bottom"/>
            <w:tcBorders>
              <w:top w:val="single" w:sz="8" w:color="auto"/>
            </w:tcBorders>
            <w:gridSpan w:val="4"/>
          </w:tcPr>
          <w:p>
            <w:pPr>
              <w:jc w:val="right"/>
              <w:ind w:right="180"/>
              <w:spacing w:after="0" w:line="186" w:lineRule="exact"/>
              <w:rPr>
                <w:sz w:val="20"/>
                <w:szCs w:val="20"/>
                <w:color w:val="auto"/>
              </w:rPr>
            </w:pPr>
            <w:r>
              <w:rPr>
                <w:rFonts w:ascii="Times New Roman" w:cs="Times New Roman" w:eastAsia="Times New Roman" w:hAnsi="Times New Roman"/>
                <w:sz w:val="18"/>
                <w:szCs w:val="18"/>
                <w:b w:val="1"/>
                <w:bCs w:val="1"/>
                <w:color w:val="auto"/>
              </w:rPr>
              <w:t>(In Korean won and number of</w:t>
            </w:r>
          </w:p>
        </w:tc>
        <w:tc>
          <w:tcPr>
            <w:tcW w:w="100" w:type="dxa"/>
            <w:vAlign w:val="bottom"/>
          </w:tcPr>
          <w:p>
            <w:pPr>
              <w:spacing w:after="0"/>
              <w:rPr>
                <w:sz w:val="16"/>
                <w:szCs w:val="16"/>
                <w:color w:val="auto"/>
              </w:rPr>
            </w:pPr>
          </w:p>
        </w:tc>
      </w:tr>
      <w:tr>
        <w:trPr>
          <w:trHeight w:val="237"/>
        </w:trPr>
        <w:tc>
          <w:tcPr>
            <w:tcW w:w="6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40" w:type="dxa"/>
            <w:vAlign w:val="bottom"/>
            <w:gridSpan w:val="5"/>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1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245,442</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w:t>
            </w:r>
          </w:p>
        </w:tc>
      </w:tr>
      <w:tr>
        <w:trPr>
          <w:trHeight w:val="21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000" w:type="dxa"/>
            <w:vAlign w:val="bottom"/>
          </w:tcPr>
          <w:p>
            <w:pPr>
              <w:spacing w:after="0"/>
              <w:rPr>
                <w:sz w:val="18"/>
                <w:szCs w:val="18"/>
                <w:color w:val="auto"/>
              </w:rPr>
            </w:pPr>
          </w:p>
        </w:tc>
        <w:tc>
          <w:tcPr>
            <w:tcW w:w="51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400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(76,400)</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r>
      <w:tr>
        <w:trPr>
          <w:trHeight w:val="21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510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(83,942)</w:t>
            </w:r>
          </w:p>
        </w:tc>
        <w:tc>
          <w:tcPr>
            <w:tcW w:w="24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1,923</w:t>
            </w:r>
          </w:p>
        </w:tc>
      </w:tr>
      <w:tr>
        <w:trPr>
          <w:trHeight w:val="21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1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85,100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w:t>
            </w:r>
          </w:p>
        </w:tc>
      </w:tr>
      <w:tr>
        <w:trPr>
          <w:trHeight w:val="557"/>
        </w:trPr>
        <w:tc>
          <w:tcPr>
            <w:tcW w:w="6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591"/>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  Subsidiary</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7"/>
        </w:trPr>
        <w:tc>
          <w:tcPr>
            <w:tcW w:w="8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8400" w:type="dxa"/>
            <w:vAlign w:val="bottom"/>
          </w:tcPr>
          <w:p>
            <w:pPr>
              <w:spacing w:after="0"/>
              <w:rPr>
                <w:sz w:val="18"/>
                <w:szCs w:val="18"/>
                <w:color w:val="auto"/>
              </w:rPr>
            </w:pP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7"/>
        </w:trPr>
        <w:tc>
          <w:tcPr>
            <w:tcW w:w="8400" w:type="dxa"/>
            <w:vAlign w:val="bottom"/>
          </w:tcPr>
          <w:p>
            <w:pPr>
              <w:spacing w:after="0"/>
              <w:rPr>
                <w:sz w:val="20"/>
                <w:szCs w:val="20"/>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40" w:type="dxa"/>
            <w:vAlign w:val="bottom"/>
          </w:tcPr>
          <w:p>
            <w:pPr>
              <w:spacing w:after="0"/>
              <w:rPr>
                <w:sz w:val="20"/>
                <w:szCs w:val="20"/>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186"/>
        </w:trPr>
        <w:tc>
          <w:tcPr>
            <w:tcW w:w="8400" w:type="dxa"/>
            <w:vAlign w:val="bottom"/>
          </w:tcPr>
          <w:p>
            <w:pPr>
              <w:spacing w:after="0"/>
              <w:rPr>
                <w:sz w:val="16"/>
                <w:szCs w:val="16"/>
                <w:color w:val="auto"/>
              </w:rPr>
            </w:pPr>
          </w:p>
        </w:tc>
        <w:tc>
          <w:tcPr>
            <w:tcW w:w="2740" w:type="dxa"/>
            <w:vAlign w:val="bottom"/>
            <w:tcBorders>
              <w:top w:val="single" w:sz="8" w:color="auto"/>
            </w:tcBorders>
            <w:gridSpan w:val="3"/>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Korean won and number of</w:t>
            </w:r>
          </w:p>
        </w:tc>
        <w:tc>
          <w:tcPr>
            <w:tcW w:w="100" w:type="dxa"/>
            <w:vAlign w:val="bottom"/>
          </w:tcPr>
          <w:p>
            <w:pPr>
              <w:spacing w:after="0"/>
              <w:rPr>
                <w:sz w:val="16"/>
                <w:szCs w:val="16"/>
                <w:color w:val="auto"/>
              </w:rPr>
            </w:pPr>
          </w:p>
        </w:tc>
      </w:tr>
      <w:tr>
        <w:trPr>
          <w:trHeight w:val="237"/>
        </w:trPr>
        <w:tc>
          <w:tcPr>
            <w:tcW w:w="8400" w:type="dxa"/>
            <w:vAlign w:val="bottom"/>
          </w:tcPr>
          <w:p>
            <w:pPr>
              <w:spacing w:after="0"/>
              <w:rPr>
                <w:sz w:val="20"/>
                <w:szCs w:val="20"/>
                <w:color w:val="auto"/>
              </w:rPr>
            </w:pPr>
          </w:p>
        </w:tc>
        <w:tc>
          <w:tcPr>
            <w:tcW w:w="28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r>
      <w:tr>
        <w:trPr>
          <w:trHeight w:val="215"/>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710,000</w:t>
            </w:r>
          </w:p>
        </w:tc>
      </w:tr>
      <w:tr>
        <w:trPr>
          <w:trHeight w:val="215"/>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710,000</w:t>
            </w:r>
          </w:p>
        </w:tc>
      </w:tr>
    </w:tbl>
    <w:p>
      <w:pPr>
        <w:spacing w:after="0" w:line="192" w:lineRule="exact"/>
        <w:rPr>
          <w:sz w:val="20"/>
          <w:szCs w:val="20"/>
          <w:color w:val="auto"/>
        </w:rPr>
      </w:pPr>
    </w:p>
    <w:p>
      <w:pPr>
        <w:ind w:left="320" w:right="8000" w:hanging="313"/>
        <w:spacing w:after="0" w:line="497" w:lineRule="auto"/>
        <w:tabs>
          <w:tab w:leader="none" w:pos="3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Changes in share-based compensation </w:t>
      </w:r>
      <w:r>
        <w:rPr>
          <w:rFonts w:ascii="Times New Roman" w:cs="Times New Roman" w:eastAsia="Times New Roman" w:hAnsi="Times New Roman"/>
          <w:sz w:val="18"/>
          <w:szCs w:val="18"/>
          <w:color w:val="auto"/>
        </w:rPr>
        <w:t>i. Parent 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56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5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56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340" w:type="dxa"/>
            <w:vAlign w:val="bottom"/>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135,740</w:t>
            </w:r>
          </w:p>
        </w:tc>
      </w:tr>
      <w:tr>
        <w:trPr>
          <w:trHeight w:val="215"/>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 recognized</w:t>
            </w:r>
          </w:p>
        </w:tc>
        <w:tc>
          <w:tcPr>
            <w:tcW w:w="4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w:t>
            </w:r>
          </w:p>
        </w:tc>
      </w:tr>
      <w:tr>
        <w:trPr>
          <w:trHeight w:val="215"/>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4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(28,739)</w:t>
            </w:r>
          </w:p>
        </w:tc>
      </w:tr>
      <w:tr>
        <w:trPr>
          <w:trHeight w:val="215"/>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Expired</w:t>
            </w:r>
          </w:p>
        </w:tc>
        <w:tc>
          <w:tcPr>
            <w:tcW w:w="4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(62,801)</w:t>
            </w: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340" w:type="dxa"/>
            <w:vAlign w:val="bottom"/>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46,595</w:t>
            </w:r>
          </w:p>
        </w:tc>
      </w:tr>
      <w:tr>
        <w:trPr>
          <w:trHeight w:val="430"/>
        </w:trPr>
        <w:tc>
          <w:tcPr>
            <w:tcW w:w="5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  Subsidiary</w:t>
            </w:r>
          </w:p>
        </w:tc>
        <w:tc>
          <w:tcPr>
            <w:tcW w:w="4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5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4"/>
                <w:szCs w:val="24"/>
                <w:color w:val="auto"/>
              </w:rPr>
            </w:pPr>
          </w:p>
        </w:tc>
      </w:tr>
      <w:tr>
        <w:trPr>
          <w:trHeight w:val="186"/>
        </w:trPr>
        <w:tc>
          <w:tcPr>
            <w:tcW w:w="56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5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56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78,160</w:t>
            </w:r>
          </w:p>
        </w:tc>
      </w:tr>
      <w:tr>
        <w:trPr>
          <w:trHeight w:val="215"/>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 recognized</w:t>
            </w:r>
          </w:p>
        </w:tc>
        <w:tc>
          <w:tcPr>
            <w:tcW w:w="4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4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3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78,160</w:t>
            </w:r>
          </w:p>
        </w:tc>
      </w:tr>
    </w:tbl>
    <w:p>
      <w:pPr>
        <w:spacing w:after="0" w:line="1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Outstanding share options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exercise price and weighted average remaining contractual life of outstanding share options as of December 31, 2025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   Parent Company</w:t>
            </w:r>
          </w:p>
        </w:tc>
        <w:tc>
          <w:tcPr>
            <w:tcW w:w="5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7"/>
        </w:trPr>
        <w:tc>
          <w:tcPr>
            <w:tcW w:w="4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4360" w:type="dxa"/>
            <w:vAlign w:val="bottom"/>
          </w:tcPr>
          <w:p>
            <w:pPr>
              <w:spacing w:after="0"/>
              <w:rPr>
                <w:sz w:val="20"/>
                <w:szCs w:val="20"/>
                <w:color w:val="auto"/>
              </w:rPr>
            </w:pPr>
          </w:p>
        </w:tc>
        <w:tc>
          <w:tcPr>
            <w:tcW w:w="6780" w:type="dxa"/>
            <w:vAlign w:val="bottom"/>
            <w:gridSpan w:val="2"/>
          </w:tcPr>
          <w:p>
            <w:pPr>
              <w:ind w:left="60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8"/>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56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5660" w:type="dxa"/>
            <w:vAlign w:val="bottom"/>
          </w:tcPr>
          <w:p>
            <w:pPr>
              <w:spacing w:after="0"/>
              <w:rPr>
                <w:sz w:val="20"/>
                <w:szCs w:val="20"/>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0.23 years</w:t>
            </w:r>
          </w:p>
        </w:tc>
      </w:tr>
      <w:tr>
        <w:trPr>
          <w:trHeight w:val="538"/>
        </w:trPr>
        <w:tc>
          <w:tcPr>
            <w:tcW w:w="43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jc w:val="right"/>
              <w:ind w:right="4211"/>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8000" w:type="dxa"/>
            <w:vAlign w:val="bottom"/>
            <w:gridSpan w:val="3"/>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HANSOL INTICUBE CO., LTD.</w:t>
            </w:r>
          </w:p>
        </w:tc>
      </w:tr>
      <w:tr>
        <w:trPr>
          <w:trHeight w:val="237"/>
        </w:trPr>
        <w:tc>
          <w:tcPr>
            <w:tcW w:w="3240" w:type="dxa"/>
            <w:vAlign w:val="bottom"/>
          </w:tcPr>
          <w:p>
            <w:pPr>
              <w:spacing w:after="0"/>
              <w:rPr>
                <w:sz w:val="20"/>
                <w:szCs w:val="20"/>
                <w:color w:val="auto"/>
              </w:rPr>
            </w:pPr>
          </w:p>
        </w:tc>
        <w:tc>
          <w:tcPr>
            <w:tcW w:w="8000" w:type="dxa"/>
            <w:vAlign w:val="bottom"/>
            <w:gridSpan w:val="3"/>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NOTES TO CONSOLIDATED FINANCIAL STATEMENTS</w:t>
            </w:r>
          </w:p>
        </w:tc>
      </w:tr>
      <w:tr>
        <w:trPr>
          <w:trHeight w:val="429"/>
        </w:trPr>
        <w:tc>
          <w:tcPr>
            <w:tcW w:w="3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  Subsidiary</w:t>
            </w:r>
          </w:p>
        </w:tc>
        <w:tc>
          <w:tcPr>
            <w:tcW w:w="6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324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3240" w:type="dxa"/>
            <w:vAlign w:val="bottom"/>
          </w:tcPr>
          <w:p>
            <w:pPr>
              <w:spacing w:after="0"/>
              <w:rPr>
                <w:sz w:val="20"/>
                <w:szCs w:val="20"/>
                <w:color w:val="auto"/>
              </w:rPr>
            </w:pPr>
          </w:p>
        </w:tc>
        <w:tc>
          <w:tcPr>
            <w:tcW w:w="7900" w:type="dxa"/>
            <w:vAlign w:val="bottom"/>
            <w:gridSpan w:val="2"/>
          </w:tcPr>
          <w:p>
            <w:pPr>
              <w:ind w:left="7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8"/>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67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6780" w:type="dxa"/>
            <w:vAlign w:val="bottom"/>
          </w:tcPr>
          <w:p>
            <w:pPr>
              <w:spacing w:after="0"/>
              <w:rPr>
                <w:sz w:val="20"/>
                <w:szCs w:val="20"/>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1.22 years</w:t>
            </w:r>
          </w:p>
        </w:tc>
      </w:tr>
      <w:tr>
        <w:trPr>
          <w:trHeight w:val="411"/>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  Share-based payment expenses</w:t>
            </w:r>
          </w:p>
        </w:tc>
        <w:tc>
          <w:tcPr>
            <w:tcW w:w="6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payment expenses recognized and to be recognized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Company</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7"/>
        </w:trPr>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5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56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5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 recognized during the period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(26,345)</w:t>
            </w:r>
          </w:p>
        </w:tc>
      </w:tr>
      <w:tr>
        <w:trPr>
          <w:trHeight w:val="23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expense to be recognized in future periods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411"/>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5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56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5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 recognized during the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expense to be recognized in future periods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Earnings per Share</w:t>
      </w:r>
    </w:p>
    <w:p>
      <w:pPr>
        <w:spacing w:after="0" w:line="222" w:lineRule="exact"/>
        <w:rPr>
          <w:sz w:val="20"/>
          <w:szCs w:val="20"/>
          <w:color w:val="auto"/>
        </w:rPr>
      </w:pPr>
    </w:p>
    <w:p>
      <w:pPr>
        <w:ind w:left="320" w:hanging="313"/>
        <w:spacing w:after="0"/>
        <w:tabs>
          <w:tab w:leader="none" w:pos="3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Earnings per Share</w:t>
      </w:r>
    </w:p>
    <w:p>
      <w:pPr>
        <w:spacing w:after="0" w:line="226"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Basic earnings per share attributable to owners of the parent for the year ended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48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(In thousands of</w:t>
            </w:r>
          </w:p>
        </w:tc>
        <w:tc>
          <w:tcPr>
            <w:tcW w:w="100" w:type="dxa"/>
            <w:vAlign w:val="bottom"/>
          </w:tcPr>
          <w:p>
            <w:pPr>
              <w:spacing w:after="0"/>
              <w:rPr>
                <w:sz w:val="16"/>
                <w:szCs w:val="16"/>
                <w:color w:val="auto"/>
              </w:rPr>
            </w:pPr>
          </w:p>
        </w:tc>
      </w:tr>
      <w:tr>
        <w:trPr>
          <w:trHeight w:val="215"/>
        </w:trPr>
        <w:tc>
          <w:tcPr>
            <w:tcW w:w="48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Korean won,</w:t>
            </w:r>
          </w:p>
        </w:tc>
      </w:tr>
      <w:tr>
        <w:trPr>
          <w:trHeight w:val="237"/>
        </w:trPr>
        <w:tc>
          <w:tcPr>
            <w:tcW w:w="48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w:t>
            </w:r>
          </w:p>
        </w:tc>
      </w:tr>
      <w:tr>
        <w:trPr>
          <w:trHeight w:val="21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attributable to owners of the parent</w:t>
            </w:r>
          </w:p>
        </w:tc>
        <w:tc>
          <w:tcPr>
            <w:tcW w:w="4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794,130</w:t>
            </w:r>
          </w:p>
        </w:tc>
      </w:tr>
      <w:tr>
        <w:trPr>
          <w:trHeight w:val="21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48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13,662,476 Shares</w:t>
            </w:r>
          </w:p>
        </w:tc>
      </w:tr>
      <w:tr>
        <w:trPr>
          <w:trHeight w:val="21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8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KRW 58</w:t>
            </w:r>
          </w:p>
        </w:tc>
      </w:tr>
      <w:tr>
        <w:trPr>
          <w:trHeight w:val="557"/>
        </w:trPr>
        <w:tc>
          <w:tcPr>
            <w:tcW w:w="48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jc w:val="right"/>
              <w:ind w:right="3891"/>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left="660" w:hanging="331"/>
        <w:spacing w:after="0" w:line="279"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ordinary shares outstanding is calculated by weighting the number of ordinary shares issued by the period of time they were outstanding. Details for the year ended December 31, 2025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28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5"/>
        </w:trPr>
        <w:tc>
          <w:tcPr>
            <w:tcW w:w="28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r>
      <w:tr>
        <w:trPr>
          <w:trHeight w:val="237"/>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r>
      <w:tr>
        <w:trPr>
          <w:trHeight w:val="208"/>
        </w:trPr>
        <w:tc>
          <w:tcPr>
            <w:tcW w:w="7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1, 2025 ~ Dec 31, 2025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13,662,476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13,662,476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736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Treasury shares of 217,045 shares</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 excluded.</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  Diluted Earnings per Share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Diluted earnings per share is calculated by adjusting the weighted average number of ordinary shares outstanding assuming conversion of all dilutive potential ordinary shares. The Group’s dilutive potential ordinary shares consist of share options. The number of shares is calculated based on the fair value (average market price during the period) of shares that could have been acquired using the proceeds from the exercise of the options, and compared with the number of shares that would be issued upon exercise.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share options held by the Group do not have a dilutive effect, basic earnings per share and diluted earnings per share are the same.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Financial Instruments</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Financial assets and liabilities by category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amounts of financial assets and financial liabilities by category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assets at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profit or loss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8"/>
        </w:trPr>
        <w:tc>
          <w:tcPr>
            <w:tcW w:w="4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78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72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2,295,359</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financial instruments</w:t>
            </w:r>
          </w:p>
        </w:tc>
        <w:tc>
          <w:tcPr>
            <w:tcW w:w="27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5,837</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215"/>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7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11,294,244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11,294,244</w:t>
            </w: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other receivables</w:t>
            </w:r>
          </w:p>
        </w:tc>
        <w:tc>
          <w:tcPr>
            <w:tcW w:w="27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595,593</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595,593</w:t>
            </w:r>
          </w:p>
        </w:tc>
        <w:tc>
          <w:tcPr>
            <w:tcW w:w="0" w:type="dxa"/>
            <w:vAlign w:val="bottom"/>
          </w:tcPr>
          <w:p>
            <w:pPr>
              <w:spacing w:after="0"/>
              <w:rPr>
                <w:sz w:val="1"/>
                <w:szCs w:val="1"/>
                <w:color w:val="auto"/>
              </w:rPr>
            </w:pPr>
          </w:p>
        </w:tc>
      </w:tr>
      <w:tr>
        <w:trPr>
          <w:trHeight w:val="215"/>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27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1,005,980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tcBorders>
              <w:top w:val="single" w:sz="8" w:color="CCEEFF"/>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14,191,033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15,197,013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2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7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7,878,676</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7,878,676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4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ind w:left="24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7,878,676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720" w:type="dxa"/>
            <w:vAlign w:val="bottom"/>
            <w:vMerge w:val="restart"/>
          </w:tcPr>
          <w:p>
            <w:pPr>
              <w:jc w:val="right"/>
              <w:ind w:right="1551"/>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6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ind w:left="320" w:hanging="313"/>
        <w:spacing w:after="0"/>
        <w:tabs>
          <w:tab w:leader="none" w:pos="3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6" w:lineRule="exact"/>
        <w:rPr>
          <w:rFonts w:ascii="Times New Roman" w:cs="Times New Roman" w:eastAsia="Times New Roman" w:hAnsi="Times New Roman"/>
          <w:sz w:val="18"/>
          <w:szCs w:val="18"/>
          <w:b w:val="1"/>
          <w:bCs w:val="1"/>
          <w:color w:val="auto"/>
        </w:rPr>
      </w:pPr>
    </w:p>
    <w:p>
      <w:pPr>
        <w:ind w:left="660" w:hanging="331"/>
        <w:spacing w:after="0" w:line="279" w:lineRule="auto"/>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considers that the carrying amounts of financial assets and financial liabilities measured at amortized cost approximate their fair values.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hierarchy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categorizes inputs used in valuation techniques into three levels: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for the asset or liability</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iii.  Fair value hierarchy of financial instruments measured at fair value as of December 31, 2025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8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4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2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625,980</w:t>
            </w:r>
          </w:p>
        </w:tc>
        <w:tc>
          <w:tcPr>
            <w:tcW w:w="13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380,000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1,005,980</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660" w:hanging="331"/>
        <w:spacing w:after="0"/>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between levels are recognized at the date of the event or change in circumstances that caused the transfer.</w:t>
      </w:r>
    </w:p>
    <w:p>
      <w:pPr>
        <w:spacing w:after="0" w:line="21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  Financial assets classified as Level 3</w:t>
      </w:r>
    </w:p>
    <w:p>
      <w:pPr>
        <w:spacing w:after="0" w:line="226"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techniques and significant unobservable inputs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60" w:type="dxa"/>
            <w:vAlign w:val="bottom"/>
          </w:tcPr>
          <w:p>
            <w:pPr>
              <w:spacing w:after="0"/>
              <w:rPr>
                <w:sz w:val="20"/>
                <w:szCs w:val="20"/>
                <w:color w:val="auto"/>
              </w:rPr>
            </w:pPr>
          </w:p>
        </w:tc>
        <w:tc>
          <w:tcPr>
            <w:tcW w:w="12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08"/>
        </w:trPr>
        <w:tc>
          <w:tcPr>
            <w:tcW w:w="7360" w:type="dxa"/>
            <w:vAlign w:val="bottom"/>
          </w:tcPr>
          <w:p>
            <w:pPr>
              <w:spacing w:after="0"/>
              <w:rPr>
                <w:sz w:val="18"/>
                <w:szCs w:val="18"/>
                <w:color w:val="auto"/>
              </w:rPr>
            </w:pPr>
          </w:p>
        </w:tc>
        <w:tc>
          <w:tcPr>
            <w:tcW w:w="37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tcPr>
          <w:p>
            <w:pPr>
              <w:spacing w:after="0"/>
              <w:rPr>
                <w:sz w:val="18"/>
                <w:szCs w:val="18"/>
                <w:color w:val="auto"/>
              </w:rPr>
            </w:pPr>
          </w:p>
        </w:tc>
      </w:tr>
      <w:tr>
        <w:trPr>
          <w:trHeight w:val="21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Dandi Hamo Startup Investment Fund No. 1</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300,000</w:t>
            </w:r>
          </w:p>
        </w:tc>
        <w:tc>
          <w:tcPr>
            <w:tcW w:w="1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approach</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Busan Regional Innovation TIPS Fund No. 1</w:t>
            </w: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80,000</w:t>
            </w:r>
          </w:p>
        </w:tc>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approach</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0"/>
        </w:trPr>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  Changes in Level 3 financial assets for the year ended December 31, 2025 are as follows:</w:t>
            </w: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7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Financial</w:t>
            </w:r>
          </w:p>
        </w:tc>
      </w:tr>
      <w:tr>
        <w:trPr>
          <w:trHeight w:val="215"/>
        </w:trPr>
        <w:tc>
          <w:tcPr>
            <w:tcW w:w="7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assets at</w:t>
            </w:r>
          </w:p>
        </w:tc>
      </w:tr>
      <w:tr>
        <w:trPr>
          <w:trHeight w:val="215"/>
        </w:trPr>
        <w:tc>
          <w:tcPr>
            <w:tcW w:w="7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r>
      <w:tr>
        <w:trPr>
          <w:trHeight w:val="215"/>
        </w:trPr>
        <w:tc>
          <w:tcPr>
            <w:tcW w:w="7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37"/>
        </w:trPr>
        <w:tc>
          <w:tcPr>
            <w:tcW w:w="7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profit or loss</w:t>
            </w:r>
          </w:p>
        </w:tc>
      </w:tr>
      <w:tr>
        <w:trPr>
          <w:trHeight w:val="186"/>
        </w:trPr>
        <w:tc>
          <w:tcPr>
            <w:tcW w:w="7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7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7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5"/>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1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6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380,000</w:t>
            </w:r>
          </w:p>
        </w:tc>
      </w:tr>
      <w:tr>
        <w:trPr>
          <w:trHeight w:val="557"/>
        </w:trPr>
        <w:tc>
          <w:tcPr>
            <w:tcW w:w="73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Net gains or losses by category of financial instruments for the year ended December 31, 2025 are as follows:</w:t>
            </w: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4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60" w:type="dxa"/>
            <w:vAlign w:val="bottom"/>
          </w:tcPr>
          <w:p>
            <w:pPr>
              <w:jc w:val="center"/>
              <w:ind w:right="171"/>
              <w:spacing w:after="0" w:line="186"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1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Financial</w:t>
            </w:r>
          </w:p>
        </w:tc>
        <w:tc>
          <w:tcPr>
            <w:tcW w:w="146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assets at</w:t>
            </w:r>
          </w:p>
        </w:tc>
        <w:tc>
          <w:tcPr>
            <w:tcW w:w="1340" w:type="dxa"/>
            <w:vAlign w:val="bottom"/>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assets at</w:t>
            </w:r>
          </w:p>
        </w:tc>
        <w:tc>
          <w:tcPr>
            <w:tcW w:w="146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134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rPr>
              <w:t>liabilities at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6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134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46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profit or loss</w:t>
            </w:r>
          </w:p>
        </w:tc>
        <w:tc>
          <w:tcPr>
            <w:tcW w:w="134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4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2"/>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8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87,437</w:t>
            </w:r>
          </w:p>
        </w:tc>
        <w:tc>
          <w:tcPr>
            <w:tcW w:w="14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87,437</w:t>
            </w:r>
          </w:p>
        </w:tc>
      </w:tr>
      <w:tr>
        <w:trPr>
          <w:trHeight w:val="21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1980" w:type="dxa"/>
            <w:vAlign w:val="bottom"/>
          </w:tcPr>
          <w:p>
            <w:pPr>
              <w:spacing w:after="0"/>
              <w:rPr>
                <w:sz w:val="18"/>
                <w:szCs w:val="18"/>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406</w:t>
            </w:r>
          </w:p>
        </w:tc>
        <w:tc>
          <w:tcPr>
            <w:tcW w:w="1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104,595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105,001</w:t>
            </w:r>
          </w:p>
        </w:tc>
      </w:tr>
      <w:tr>
        <w:trPr>
          <w:trHeight w:val="21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9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5,468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r>
      <w:tr>
        <w:trPr>
          <w:trHeight w:val="21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Gain on valuation of FVTPL</w:t>
            </w:r>
          </w:p>
        </w:tc>
        <w:tc>
          <w:tcPr>
            <w:tcW w:w="1980" w:type="dxa"/>
            <w:vAlign w:val="bottom"/>
          </w:tcPr>
          <w:p>
            <w:pPr>
              <w:spacing w:after="0"/>
              <w:rPr>
                <w:sz w:val="18"/>
                <w:szCs w:val="18"/>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19,795</w:t>
            </w:r>
          </w:p>
        </w:tc>
        <w:tc>
          <w:tcPr>
            <w:tcW w:w="1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19,795</w:t>
            </w:r>
          </w:p>
        </w:tc>
      </w:tr>
      <w:tr>
        <w:trPr>
          <w:trHeight w:val="21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(53,000)</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(53,000)</w:t>
            </w:r>
          </w:p>
        </w:tc>
      </w:tr>
      <w:tr>
        <w:trPr>
          <w:trHeight w:val="21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9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(644)</w:t>
            </w:r>
          </w:p>
        </w:tc>
        <w:tc>
          <w:tcPr>
            <w:tcW w:w="1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(99,362)</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(100,006)</w:t>
            </w:r>
          </w:p>
        </w:tc>
      </w:tr>
      <w:tr>
        <w:trPr>
          <w:trHeight w:val="21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98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(2,913)</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(2,913)</w:t>
            </w:r>
          </w:p>
        </w:tc>
      </w:tr>
    </w:tbl>
    <w:p>
      <w:pPr>
        <w:spacing w:after="0" w:line="1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Risk Management</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Risk management is carried out under policies approved by the Board of Directors, with the finance department responsible for identifying, evaluating, and managing financial risks in close cooperation with operating departments.</w:t>
      </w:r>
    </w:p>
    <w:p>
      <w:pPr>
        <w:spacing w:after="0" w:line="163" w:lineRule="exact"/>
        <w:rPr>
          <w:sz w:val="20"/>
          <w:szCs w:val="20"/>
          <w:color w:val="auto"/>
        </w:rPr>
      </w:pPr>
    </w:p>
    <w:p>
      <w:pPr>
        <w:ind w:left="660" w:hanging="331"/>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risk management</w:t>
      </w:r>
    </w:p>
    <w:p>
      <w:pPr>
        <w:spacing w:after="0" w:line="2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Group manages its capital to ensure that it can continue as a going concern while maximizing returns to shareholders. The capital structure consists of debt and equity, and the debt ratio is used as a key indicator.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9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r>
      <w:tr>
        <w:trPr>
          <w:trHeight w:val="186"/>
        </w:trPr>
        <w:tc>
          <w:tcPr>
            <w:tcW w:w="9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16"/>
                <w:szCs w:val="16"/>
                <w:color w:val="auto"/>
              </w:rPr>
            </w:pPr>
          </w:p>
        </w:tc>
      </w:tr>
      <w:tr>
        <w:trPr>
          <w:trHeight w:val="215"/>
        </w:trPr>
        <w:tc>
          <w:tcPr>
            <w:tcW w:w="9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9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19,442,641</w:t>
            </w:r>
          </w:p>
        </w:tc>
      </w:tr>
      <w:tr>
        <w:trPr>
          <w:trHeight w:val="215"/>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13,507,602</w:t>
            </w:r>
          </w:p>
        </w:tc>
      </w:tr>
      <w:tr>
        <w:trPr>
          <w:trHeight w:val="215"/>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ratio</w:t>
            </w:r>
          </w:p>
        </w:tc>
        <w:tc>
          <w:tcPr>
            <w:tcW w:w="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143.94%</w:t>
            </w:r>
          </w:p>
        </w:tc>
      </w:tr>
      <w:tr>
        <w:trPr>
          <w:trHeight w:val="430"/>
        </w:trPr>
        <w:tc>
          <w:tcPr>
            <w:tcW w:w="9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  Market risk</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9"/>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The Group is exposed to financial risks primarily arising from fluctuations in foreign exchange rates and interest rates.</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9"/>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a. Foreign exchange risk</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Group is exposed to foreign exchange risk as it engages in transactions denominated in foreign currencies. The Group regularly measures and monitors its exposure to exchange rate fluctuations.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currency-denominated assets and liabilities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6040" w:type="dxa"/>
            <w:vAlign w:val="bottom"/>
          </w:tcPr>
          <w:p>
            <w:pPr>
              <w:spacing w:after="0"/>
              <w:rPr>
                <w:sz w:val="16"/>
                <w:szCs w:val="16"/>
                <w:color w:val="auto"/>
              </w:rPr>
            </w:pPr>
          </w:p>
        </w:tc>
        <w:tc>
          <w:tcPr>
            <w:tcW w:w="1000" w:type="dxa"/>
            <w:vAlign w:val="bottom"/>
          </w:tcPr>
          <w:p>
            <w:pPr>
              <w:jc w:val="center"/>
              <w:ind w:left="11"/>
              <w:spacing w:after="0" w:line="186"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center"/>
              <w:ind w:right="71"/>
              <w:spacing w:after="0" w:line="18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040" w:type="dxa"/>
            <w:vAlign w:val="bottom"/>
          </w:tcPr>
          <w:p>
            <w:pPr>
              <w:spacing w:after="0"/>
              <w:rPr>
                <w:sz w:val="18"/>
                <w:szCs w:val="18"/>
                <w:color w:val="auto"/>
              </w:rPr>
            </w:pP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60" w:type="dxa"/>
            <w:vAlign w:val="bottom"/>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60" w:type="dxa"/>
            <w:vAlign w:val="bottom"/>
          </w:tcPr>
          <w:p>
            <w:pPr>
              <w:spacing w:after="0"/>
              <w:rPr>
                <w:sz w:val="18"/>
                <w:szCs w:val="18"/>
                <w:color w:val="auto"/>
              </w:rPr>
            </w:pPr>
          </w:p>
        </w:tc>
        <w:tc>
          <w:tcPr>
            <w:tcW w:w="134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37"/>
        </w:trPr>
        <w:tc>
          <w:tcPr>
            <w:tcW w:w="6040" w:type="dxa"/>
            <w:vAlign w:val="bottom"/>
          </w:tcPr>
          <w:p>
            <w:pPr>
              <w:spacing w:after="0"/>
              <w:rPr>
                <w:sz w:val="20"/>
                <w:szCs w:val="20"/>
                <w:color w:val="auto"/>
              </w:rPr>
            </w:pP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260" w:type="dxa"/>
            <w:vAlign w:val="bottom"/>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(KRW)</w:t>
            </w:r>
          </w:p>
        </w:tc>
        <w:tc>
          <w:tcPr>
            <w:tcW w:w="360" w:type="dxa"/>
            <w:vAlign w:val="bottom"/>
          </w:tcPr>
          <w:p>
            <w:pPr>
              <w:spacing w:after="0"/>
              <w:rPr>
                <w:sz w:val="20"/>
                <w:szCs w:val="20"/>
                <w:color w:val="auto"/>
              </w:rPr>
            </w:pPr>
          </w:p>
        </w:tc>
        <w:tc>
          <w:tcPr>
            <w:tcW w:w="134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(KRW)</w:t>
            </w:r>
          </w:p>
        </w:tc>
      </w:tr>
      <w:tr>
        <w:trPr>
          <w:trHeight w:val="208"/>
        </w:trPr>
        <w:tc>
          <w:tcPr>
            <w:tcW w:w="60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3"/>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26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689,524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989,398</w:t>
            </w:r>
          </w:p>
        </w:tc>
      </w:tr>
      <w:tr>
        <w:trPr>
          <w:trHeight w:val="557"/>
        </w:trPr>
        <w:tc>
          <w:tcPr>
            <w:tcW w:w="6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10% increase or decrease in exchange rates would result in a decrease or increase in profit before tax by approximately Korean won 98,940 thousand.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Interest rate risk management</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 is exposed to interest rate risk in relation to deposits and other interest-bearing instruments. Interest rates are periodically reviewed and managed in line with defined risk tolerance levels to ensure optimal risk management strategies.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 impact on profit before tax from a 1% change in interest rates on variable-rate deposits is as follows:</w:t>
            </w: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7"/>
        </w:trPr>
        <w:tc>
          <w:tcPr>
            <w:tcW w:w="8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8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8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8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8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interest rates</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22,954</w:t>
            </w:r>
          </w:p>
        </w:tc>
      </w:tr>
      <w:tr>
        <w:trPr>
          <w:trHeight w:val="23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interest rates</w:t>
            </w:r>
          </w:p>
        </w:tc>
        <w:tc>
          <w:tcPr>
            <w:tcW w:w="1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(22,954)</w:t>
            </w:r>
          </w:p>
        </w:tc>
      </w:tr>
      <w:tr>
        <w:trPr>
          <w:trHeight w:val="411"/>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 Other Price Risk</w:t>
            </w: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Group is exposed to price risk arising from equity instruments. These investments are held for strategic purposes rather than trading, and the Group does not actively trade these investments.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iii.  Credit Risk Management</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the Group. The Group manages credit risk by transacting only with counterparties of appropriate credit quality and by obtaining sufficient collateral where appropriate.</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 performs internal credit evaluations and utilizes publicly available financial information and historical transaction data in assessing creditworthiness. Credit exposure and counterparty credit ratings are continuously monitored, and transactions are diversified across approved counterparties. Credit risk is controlled through credit limits that are reviewed and approved annually by the Board of Directors.</w:t>
      </w:r>
    </w:p>
    <w:p>
      <w:pPr>
        <w:spacing w:after="0" w:line="1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Liquidity risk management</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Ultimate responsibility for liquidity risk management rests with the Board of Directors, which establishes appropriate policies for managing short-term and long-term funding and liquidity. The Group manages liquidity risk by maintaining adequate reserves, borrowing facilities, and continuously monitoring forecast and actual cash flows, while matching the maturity profiles of financial assets and liabilities.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maturity analysis of non-derivative financial liabilities as of December 31, 2025 is as follows. The amounts presented represent undiscounted contractual cash flows (including interest):</w:t>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 and other payables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8"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40" w:type="dxa"/>
            <w:vAlign w:val="bottom"/>
            <w:gridSpan w:val="2"/>
          </w:tcPr>
          <w:p>
            <w:pPr>
              <w:ind w:left="100"/>
              <w:spacing w:after="0" w:line="18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320" w:type="dxa"/>
            <w:vAlign w:val="bottom"/>
            <w:gridSpan w:val="2"/>
          </w:tcPr>
          <w:p>
            <w:pPr>
              <w:jc w:val="right"/>
              <w:ind w:right="500"/>
              <w:spacing w:after="0" w:line="186" w:lineRule="exact"/>
              <w:rPr>
                <w:sz w:val="20"/>
                <w:szCs w:val="20"/>
                <w:color w:val="auto"/>
              </w:rPr>
            </w:pPr>
            <w:r>
              <w:rPr>
                <w:rFonts w:ascii="Times New Roman" w:cs="Times New Roman" w:eastAsia="Times New Roman" w:hAnsi="Times New Roman"/>
                <w:sz w:val="18"/>
                <w:szCs w:val="18"/>
                <w:b w:val="1"/>
                <w:bCs w:val="1"/>
                <w:color w:val="auto"/>
              </w:rPr>
              <w:t>Within</w:t>
            </w: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Over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0" w:type="dxa"/>
            <w:vAlign w:val="bottom"/>
          </w:tcPr>
          <w:p>
            <w:pPr>
              <w:spacing w:after="0"/>
              <w:rPr>
                <w:sz w:val="1"/>
                <w:szCs w:val="1"/>
                <w:color w:val="auto"/>
              </w:rPr>
            </w:pPr>
          </w:p>
        </w:tc>
      </w:tr>
      <w:tr>
        <w:trPr>
          <w:trHeight w:val="190"/>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4"/>
          </w:tcPr>
          <w:p>
            <w:pPr>
              <w:ind w:left="80"/>
              <w:spacing w:after="0" w:line="190" w:lineRule="exact"/>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7,878,676</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7,878,676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7,878,676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1,041,844</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1,170,306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71,433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298,873</w:t>
            </w:r>
          </w:p>
        </w:tc>
        <w:tc>
          <w:tcPr>
            <w:tcW w:w="0" w:type="dxa"/>
            <w:vAlign w:val="bottom"/>
          </w:tcPr>
          <w:p>
            <w:pPr>
              <w:spacing w:after="0"/>
              <w:rPr>
                <w:sz w:val="1"/>
                <w:szCs w:val="1"/>
                <w:color w:val="auto"/>
              </w:rPr>
            </w:pPr>
          </w:p>
        </w:tc>
      </w:tr>
      <w:tr>
        <w:trPr>
          <w:trHeight w:val="208"/>
        </w:trPr>
        <w:tc>
          <w:tcPr>
            <w:tcW w:w="28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8,920,520</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9,048,982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8,750,109</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298,873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-442595</wp:posOffset>
            </wp:positionV>
            <wp:extent cx="7132955" cy="136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-169545</wp:posOffset>
            </wp:positionV>
            <wp:extent cx="7132955" cy="153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720"/>
            <w:col w:w="5480"/>
          </w:cols>
          <w:pgMar w:left="320" w:top="761" w:right="339" w:bottom="1440" w:gutter="0" w:footer="0" w:header="0"/>
          <w:type w:val="continuous"/>
        </w:sectPr>
      </w:pP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Group maintains unused borrowing facilities (see Note 37) at an appropriate level and continuously monitors liquidity forecasts to ensure that it does not breach borrowing limits or covenants in meeting operational funding requirements.</w:t>
      </w:r>
    </w:p>
    <w:p>
      <w:pPr>
        <w:spacing w:after="0" w:line="16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Group has entered into supplier finance arrangements with financial institutions (see Note 14), which have improved its working capital. The financial institutions involved maintain sound financial positions, and the Group does not have a significant concentration of liquidity risk with these institutions.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35. Related parties</w:t>
            </w:r>
          </w:p>
        </w:tc>
        <w:tc>
          <w:tcPr>
            <w:tcW w:w="5480" w:type="dxa"/>
            <w:vAlign w:val="bottom"/>
          </w:tcPr>
          <w:p>
            <w:pPr>
              <w:spacing w:after="0"/>
              <w:rPr>
                <w:sz w:val="20"/>
                <w:szCs w:val="20"/>
                <w:color w:val="auto"/>
              </w:rPr>
            </w:pPr>
          </w:p>
        </w:tc>
      </w:tr>
      <w:tr>
        <w:trPr>
          <w:trHeight w:val="42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List of related parties</w:t>
            </w:r>
          </w:p>
        </w:tc>
        <w:tc>
          <w:tcPr>
            <w:tcW w:w="5480" w:type="dxa"/>
            <w:vAlign w:val="bottom"/>
          </w:tcPr>
          <w:p>
            <w:pPr>
              <w:spacing w:after="0"/>
              <w:rPr>
                <w:sz w:val="24"/>
                <w:szCs w:val="24"/>
                <w:color w:val="auto"/>
              </w:rPr>
            </w:pPr>
          </w:p>
        </w:tc>
      </w:tr>
      <w:tr>
        <w:trPr>
          <w:trHeight w:val="42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list of related parties as of December 31, 2025 is as follows:</w:t>
            </w:r>
          </w:p>
        </w:tc>
        <w:tc>
          <w:tcPr>
            <w:tcW w:w="5480" w:type="dxa"/>
            <w:vAlign w:val="bottom"/>
          </w:tcPr>
          <w:p>
            <w:pPr>
              <w:spacing w:after="0"/>
              <w:rPr>
                <w:sz w:val="24"/>
                <w:szCs w:val="24"/>
                <w:color w:val="auto"/>
              </w:rPr>
            </w:pPr>
          </w:p>
        </w:tc>
      </w:tr>
      <w:tr>
        <w:trPr>
          <w:trHeight w:val="42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Relationship</w:t>
            </w:r>
          </w:p>
        </w:tc>
        <w:tc>
          <w:tcPr>
            <w:tcW w:w="54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Name of entity</w:t>
            </w:r>
          </w:p>
        </w:tc>
      </w:tr>
      <w:tr>
        <w:trPr>
          <w:trHeight w:val="208"/>
        </w:trPr>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Entity exercising significant influence over the Group</w:t>
            </w:r>
          </w:p>
        </w:tc>
        <w:tc>
          <w:tcPr>
            <w:tcW w:w="300" w:type="dxa"/>
            <w:vAlign w:val="bottom"/>
            <w:tcBorders>
              <w:top w:val="single" w:sz="8" w:color="CFF0FC"/>
            </w:tcBorders>
            <w:shd w:val="clear" w:color="auto" w:fill="CFF0FC"/>
          </w:tcPr>
          <w:p>
            <w:pPr>
              <w:spacing w:after="0"/>
              <w:rPr>
                <w:sz w:val="18"/>
                <w:szCs w:val="18"/>
                <w:color w:val="auto"/>
              </w:rPr>
            </w:pPr>
          </w:p>
        </w:tc>
        <w:tc>
          <w:tcPr>
            <w:tcW w:w="5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Hansol Holdings Co., Ltd. (*1)</w:t>
            </w:r>
          </w:p>
        </w:tc>
      </w:tr>
      <w:tr>
        <w:trPr>
          <w:trHeight w:val="196"/>
        </w:trPr>
        <w:tc>
          <w:tcPr>
            <w:tcW w:w="5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related parties (*2)</w:t>
            </w:r>
          </w:p>
        </w:tc>
        <w:tc>
          <w:tcPr>
            <w:tcW w:w="5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Companies belonging to the Hansol group under the Monopoly Regulation</w:t>
            </w:r>
          </w:p>
        </w:tc>
      </w:tr>
      <w:tr>
        <w:trPr>
          <w:trHeight w:val="233"/>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and Fair Trade 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17811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entity holds more than 20% of the equity interest in the Group and exercises significant influence.</w:t>
      </w:r>
    </w:p>
    <w:p>
      <w:pPr>
        <w:spacing w:after="0" w:line="26" w:lineRule="exact"/>
        <w:rPr>
          <w:sz w:val="20"/>
          <w:szCs w:val="20"/>
          <w:color w:val="auto"/>
        </w:rPr>
      </w:pPr>
    </w:p>
    <w:p>
      <w:pPr>
        <w:jc w:val="both"/>
        <w:ind w:left="460" w:hanging="459"/>
        <w:spacing w:after="0" w:line="257" w:lineRule="auto"/>
        <w:tabs>
          <w:tab w:leader="none" w:pos="440" w:val="left"/>
        </w:tabs>
        <w:rPr>
          <w:sz w:val="20"/>
          <w:szCs w:val="20"/>
          <w:color w:val="auto"/>
        </w:rPr>
      </w:pPr>
      <w:r>
        <w:rPr>
          <w:rFonts w:ascii="Times New Roman" w:cs="Times New Roman" w:eastAsia="Times New Roman" w:hAnsi="Times New Roman"/>
          <w:sz w:val="18"/>
          <w:szCs w:val="18"/>
          <w:color w:val="auto"/>
        </w:rPr>
        <w:t>(*2)</w:t>
        <w:tab/>
        <w:t>These entities are companies within the same large business group as defined under the Monopoly Regulation and Fair Trade Act and are classified as related parties based on substantive relationships in accordance with IAS 24 paragraph 10.</w:t>
      </w:r>
    </w:p>
    <w:p>
      <w:pPr>
        <w:spacing w:after="0" w:line="1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Transactions with related parties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transactions with related parties for the year ended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20" w:type="dxa"/>
            <w:vAlign w:val="bottom"/>
          </w:tcPr>
          <w:p>
            <w:pPr>
              <w:spacing w:after="0"/>
              <w:rPr>
                <w:sz w:val="20"/>
                <w:szCs w:val="20"/>
                <w:color w:val="auto"/>
              </w:rPr>
            </w:pPr>
          </w:p>
        </w:tc>
        <w:tc>
          <w:tcPr>
            <w:tcW w:w="22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200" w:type="dxa"/>
            <w:vAlign w:val="bottom"/>
          </w:tcPr>
          <w:p>
            <w:pPr>
              <w:spacing w:after="0"/>
              <w:rPr>
                <w:sz w:val="20"/>
                <w:szCs w:val="20"/>
                <w:color w:val="auto"/>
              </w:rPr>
            </w:pPr>
          </w:p>
        </w:tc>
        <w:tc>
          <w:tcPr>
            <w:tcW w:w="22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Entity exercising significant influence over the Group</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Holdings Co., Ltd.</w:t>
            </w:r>
          </w:p>
        </w:tc>
        <w:tc>
          <w:tcPr>
            <w:tcW w:w="2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329,130</w:t>
            </w:r>
          </w:p>
        </w:tc>
      </w:tr>
      <w:tr>
        <w:trPr>
          <w:trHeight w:val="21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Hansol Technics Co., Ltd.</w:t>
            </w:r>
          </w:p>
        </w:tc>
        <w:tc>
          <w:tcPr>
            <w:tcW w:w="2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r>
      <w:tr>
        <w:trPr>
          <w:trHeight w:val="21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r>
      <w:tr>
        <w:trPr>
          <w:trHeight w:val="21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r>
      <w:tr>
        <w:trPr>
          <w:trHeight w:val="21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513,444</w:t>
            </w:r>
          </w:p>
        </w:tc>
      </w:tr>
      <w:tr>
        <w:trPr>
          <w:trHeight w:val="196"/>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Acquisition of intangible</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53,900</w:t>
            </w:r>
          </w:p>
        </w:tc>
      </w:tr>
      <w:tr>
        <w:trPr>
          <w:trHeight w:val="21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PNS Co., Ltd.</w:t>
            </w:r>
          </w:p>
        </w:tc>
        <w:tc>
          <w:tcPr>
            <w:tcW w:w="2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204,762</w:t>
            </w:r>
          </w:p>
        </w:tc>
      </w:tr>
      <w:tr>
        <w:trPr>
          <w:trHeight w:val="21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Hansol Cultural Foundation</w:t>
            </w:r>
          </w:p>
        </w:tc>
        <w:tc>
          <w:tcPr>
            <w:tcW w:w="2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tcPr>
          <w:p>
            <w:pPr>
              <w:spacing w:after="0"/>
              <w:rPr>
                <w:sz w:val="18"/>
                <w:szCs w:val="18"/>
                <w:color w:val="auto"/>
              </w:rPr>
            </w:pPr>
          </w:p>
        </w:tc>
      </w:tr>
      <w:tr>
        <w:trPr>
          <w:trHeight w:val="21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Hansol Cober Co., Ltd.</w:t>
            </w:r>
          </w:p>
        </w:tc>
        <w:tc>
          <w:tcPr>
            <w:tcW w:w="2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746,065</w:t>
            </w:r>
          </w:p>
        </w:tc>
      </w:tr>
      <w:tr>
        <w:trPr>
          <w:trHeight w:val="557"/>
        </w:trPr>
        <w:tc>
          <w:tcPr>
            <w:tcW w:w="4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Account balances with related parties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receivables and payables to related parties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6"/>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center"/>
              <w:ind w:right="20"/>
              <w:spacing w:after="0" w:line="186"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200" w:type="dxa"/>
            <w:vAlign w:val="bottom"/>
          </w:tcPr>
          <w:p>
            <w:pPr>
              <w:spacing w:after="0"/>
              <w:rPr>
                <w:sz w:val="16"/>
                <w:szCs w:val="16"/>
                <w:color w:val="auto"/>
              </w:rPr>
            </w:pPr>
          </w:p>
        </w:tc>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Trade</w:t>
            </w: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gridSpan w:val="2"/>
          </w:tcPr>
          <w:p>
            <w:pPr>
              <w:spacing w:after="0"/>
              <w:rPr>
                <w:sz w:val="16"/>
                <w:szCs w:val="16"/>
                <w:color w:val="auto"/>
              </w:rPr>
            </w:pPr>
          </w:p>
        </w:tc>
      </w:tr>
      <w:tr>
        <w:trPr>
          <w:trHeight w:val="23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22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38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Receivables</w:t>
            </w:r>
          </w:p>
        </w:tc>
        <w:tc>
          <w:tcPr>
            <w:tcW w:w="2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Payables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Payables</w:t>
            </w:r>
          </w:p>
        </w:tc>
      </w:tr>
      <w:tr>
        <w:trPr>
          <w:trHeight w:val="208"/>
        </w:trPr>
        <w:tc>
          <w:tcPr>
            <w:tcW w:w="4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78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100" w:type="dxa"/>
            <w:vAlign w:val="bottom"/>
            <w:gridSpan w:val="2"/>
          </w:tcPr>
          <w:p>
            <w:pPr>
              <w:spacing w:after="0"/>
              <w:rPr>
                <w:sz w:val="18"/>
                <w:szCs w:val="18"/>
                <w:color w:val="auto"/>
              </w:rPr>
            </w:pPr>
          </w:p>
        </w:tc>
      </w:tr>
      <w:tr>
        <w:trPr>
          <w:trHeight w:val="21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Entity exercising significant influence over the Group</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Hansol Holdings Co., Ltd.</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42,730</w:t>
            </w:r>
          </w:p>
        </w:tc>
        <w:tc>
          <w:tcPr>
            <w:tcW w:w="80" w:type="dxa"/>
            <w:vAlign w:val="bottom"/>
            <w:shd w:val="clear" w:color="auto" w:fill="CCEEFF"/>
          </w:tcPr>
          <w:p>
            <w:pPr>
              <w:spacing w:after="0"/>
              <w:rPr>
                <w:sz w:val="18"/>
                <w:szCs w:val="18"/>
                <w:color w:val="auto"/>
              </w:rPr>
            </w:pPr>
          </w:p>
        </w:tc>
      </w:tr>
      <w:tr>
        <w:trPr>
          <w:trHeight w:val="21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Hansol Technics Co., Ltd.</w:t>
            </w:r>
          </w:p>
        </w:tc>
        <w:tc>
          <w:tcPr>
            <w:tcW w:w="3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Hansol Cultural Foundation</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12,591</w:t>
            </w:r>
          </w:p>
        </w:tc>
        <w:tc>
          <w:tcPr>
            <w:tcW w:w="80" w:type="dxa"/>
            <w:vAlign w:val="bottom"/>
            <w:shd w:val="clear" w:color="auto" w:fill="CCEEFF"/>
          </w:tcPr>
          <w:p>
            <w:pPr>
              <w:spacing w:after="0"/>
              <w:rPr>
                <w:sz w:val="18"/>
                <w:szCs w:val="18"/>
                <w:color w:val="auto"/>
              </w:rPr>
            </w:pPr>
          </w:p>
        </w:tc>
      </w:tr>
      <w:tr>
        <w:trPr>
          <w:trHeight w:val="21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Hansol Cober Co., Ltd.</w:t>
            </w:r>
          </w:p>
        </w:tc>
        <w:tc>
          <w:tcPr>
            <w:tcW w:w="3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64,046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47,245</w:t>
            </w:r>
          </w:p>
        </w:tc>
        <w:tc>
          <w:tcPr>
            <w:tcW w:w="80" w:type="dxa"/>
            <w:vAlign w:val="bottom"/>
          </w:tcPr>
          <w:p>
            <w:pPr>
              <w:spacing w:after="0"/>
              <w:rPr>
                <w:sz w:val="18"/>
                <w:szCs w:val="18"/>
                <w:color w:val="auto"/>
              </w:rPr>
            </w:pPr>
          </w:p>
        </w:tc>
      </w:tr>
      <w:tr>
        <w:trPr>
          <w:trHeight w:val="21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party</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Hansol PNS Co., Ltd.</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165,052</w:t>
            </w:r>
          </w:p>
        </w:tc>
        <w:tc>
          <w:tcPr>
            <w:tcW w:w="80" w:type="dxa"/>
            <w:vAlign w:val="bottom"/>
            <w:shd w:val="clear" w:color="auto" w:fill="CCEEFF"/>
          </w:tcPr>
          <w:p>
            <w:pPr>
              <w:spacing w:after="0"/>
              <w:rPr>
                <w:sz w:val="18"/>
                <w:szCs w:val="18"/>
                <w:color w:val="auto"/>
              </w:rPr>
            </w:pPr>
          </w:p>
        </w:tc>
      </w:tr>
      <w:tr>
        <w:trPr>
          <w:trHeight w:val="208"/>
        </w:trPr>
        <w:tc>
          <w:tcPr>
            <w:tcW w:w="4740" w:type="dxa"/>
            <w:vAlign w:val="bottom"/>
            <w:gridSpan w:val="2"/>
          </w:tcPr>
          <w:p>
            <w:pPr>
              <w:ind w:left="330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64,046</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No allowance for doubtful accounts has been recognized in relation to the above receivables from related parties as of December 31, 2025, and no bad debt expense has been recognized during the year ended December 31, 2025.</w:t>
      </w:r>
    </w:p>
    <w:p>
      <w:pPr>
        <w:spacing w:after="0" w:line="1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Key management personnel compensation</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Key management includes registered directors and executives who have the authority and responsibility for planning, directing and controlling the activities of the Group. Compensation for key management personnel for the year ended December 31, 2025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8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Korean</w:t>
            </w:r>
          </w:p>
        </w:tc>
        <w:tc>
          <w:tcPr>
            <w:tcW w:w="0" w:type="dxa"/>
            <w:vAlign w:val="bottom"/>
          </w:tcPr>
          <w:p>
            <w:pPr>
              <w:spacing w:after="0"/>
              <w:rPr>
                <w:sz w:val="1"/>
                <w:szCs w:val="1"/>
                <w:color w:val="auto"/>
              </w:rPr>
            </w:pPr>
          </w:p>
        </w:tc>
      </w:tr>
      <w:tr>
        <w:trPr>
          <w:trHeight w:val="237"/>
        </w:trPr>
        <w:tc>
          <w:tcPr>
            <w:tcW w:w="8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won)</w:t>
            </w:r>
          </w:p>
        </w:tc>
        <w:tc>
          <w:tcPr>
            <w:tcW w:w="0" w:type="dxa"/>
            <w:vAlign w:val="bottom"/>
          </w:tcPr>
          <w:p>
            <w:pPr>
              <w:spacing w:after="0"/>
              <w:rPr>
                <w:sz w:val="1"/>
                <w:szCs w:val="1"/>
                <w:color w:val="auto"/>
              </w:rPr>
            </w:pPr>
          </w:p>
        </w:tc>
      </w:tr>
      <w:tr>
        <w:trPr>
          <w:trHeight w:val="215"/>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829,742</w:t>
            </w:r>
          </w:p>
        </w:tc>
        <w:tc>
          <w:tcPr>
            <w:tcW w:w="0" w:type="dxa"/>
            <w:vAlign w:val="bottom"/>
          </w:tcPr>
          <w:p>
            <w:pPr>
              <w:spacing w:after="0"/>
              <w:rPr>
                <w:sz w:val="1"/>
                <w:szCs w:val="1"/>
                <w:color w:val="auto"/>
              </w:rPr>
            </w:pPr>
          </w:p>
        </w:tc>
      </w:tr>
      <w:tr>
        <w:trPr>
          <w:trHeight w:val="215"/>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(26,345)</w:t>
            </w:r>
          </w:p>
        </w:tc>
        <w:tc>
          <w:tcPr>
            <w:tcW w:w="0" w:type="dxa"/>
            <w:vAlign w:val="bottom"/>
          </w:tcPr>
          <w:p>
            <w:pPr>
              <w:spacing w:after="0"/>
              <w:rPr>
                <w:sz w:val="1"/>
                <w:szCs w:val="1"/>
                <w:color w:val="auto"/>
              </w:rPr>
            </w:pPr>
          </w:p>
        </w:tc>
      </w:tr>
      <w:tr>
        <w:trPr>
          <w:trHeight w:val="215"/>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102,997</w:t>
            </w:r>
          </w:p>
        </w:tc>
        <w:tc>
          <w:tcPr>
            <w:tcW w:w="0" w:type="dxa"/>
            <w:vAlign w:val="bottom"/>
          </w:tcPr>
          <w:p>
            <w:pPr>
              <w:spacing w:after="0"/>
              <w:rPr>
                <w:sz w:val="1"/>
                <w:szCs w:val="1"/>
                <w:color w:val="auto"/>
              </w:rPr>
            </w:pPr>
          </w:p>
        </w:tc>
      </w:tr>
      <w:tr>
        <w:trPr>
          <w:trHeight w:val="208"/>
        </w:trPr>
        <w:tc>
          <w:tcPr>
            <w:tcW w:w="8080" w:type="dxa"/>
            <w:vAlign w:val="bottom"/>
            <w:tcBorders>
              <w:top w:val="single" w:sz="8" w:color="CCEEFF"/>
              <w:bottom w:val="single" w:sz="8" w:color="CCEEFF"/>
            </w:tcBorders>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36. Statement of Cash flows</w:t>
            </w: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80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Changes in liabilities arising from financing activities</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liabilities arising from financing activities for the year ended December 31, 2025 are as follows:</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Borders>
              <w:bottom w:val="single" w:sz="8" w:color="auto"/>
            </w:tcBorders>
            <w:gridSpan w:val="2"/>
          </w:tcPr>
          <w:p>
            <w:pPr>
              <w:jc w:val="right"/>
              <w:ind w:right="9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jc w:val="right"/>
              <w:ind w:right="411"/>
              <w:spacing w:after="0" w:line="186" w:lineRule="exact"/>
              <w:rPr>
                <w:sz w:val="20"/>
                <w:szCs w:val="20"/>
                <w:color w:val="auto"/>
              </w:rPr>
            </w:pPr>
            <w:r>
              <w:rPr>
                <w:rFonts w:ascii="Times New Roman" w:cs="Times New Roman" w:eastAsia="Times New Roman" w:hAnsi="Times New Roman"/>
                <w:sz w:val="18"/>
                <w:szCs w:val="18"/>
                <w:b w:val="1"/>
                <w:bCs w:val="1"/>
                <w:color w:val="auto"/>
              </w:rPr>
              <w:t>Lease</w:t>
            </w:r>
          </w:p>
        </w:tc>
        <w:tc>
          <w:tcPr>
            <w:tcW w:w="1180" w:type="dxa"/>
            <w:vAlign w:val="bottom"/>
          </w:tcPr>
          <w:p>
            <w:pPr>
              <w:jc w:val="right"/>
              <w:ind w:right="51"/>
              <w:spacing w:after="0" w:line="186" w:lineRule="exact"/>
              <w:rPr>
                <w:sz w:val="20"/>
                <w:szCs w:val="20"/>
                <w:color w:val="auto"/>
              </w:rPr>
            </w:pPr>
            <w:r>
              <w:rPr>
                <w:rFonts w:ascii="Times New Roman" w:cs="Times New Roman" w:eastAsia="Times New Roman" w:hAnsi="Times New Roman"/>
                <w:sz w:val="18"/>
                <w:szCs w:val="18"/>
                <w:b w:val="1"/>
                <w:bCs w:val="1"/>
                <w:color w:val="auto"/>
              </w:rPr>
              <w:t>Short-term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0" w:type="dxa"/>
            <w:vAlign w:val="bottom"/>
          </w:tcPr>
          <w:p>
            <w:pPr>
              <w:spacing w:after="0"/>
              <w:rPr>
                <w:sz w:val="1"/>
                <w:szCs w:val="1"/>
                <w:color w:val="auto"/>
              </w:rPr>
            </w:pPr>
          </w:p>
        </w:tc>
      </w:tr>
      <w:tr>
        <w:trPr>
          <w:trHeight w:val="208"/>
        </w:trPr>
        <w:tc>
          <w:tcPr>
            <w:tcW w:w="8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of Korean won)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446,184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62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(842,121)</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(1,078,296)</w:t>
            </w:r>
          </w:p>
        </w:tc>
        <w:tc>
          <w:tcPr>
            <w:tcW w:w="0" w:type="dxa"/>
            <w:vAlign w:val="bottom"/>
          </w:tcPr>
          <w:p>
            <w:pPr>
              <w:spacing w:after="0"/>
              <w:rPr>
                <w:sz w:val="1"/>
                <w:szCs w:val="1"/>
                <w:color w:val="auto"/>
              </w:rPr>
            </w:pPr>
          </w:p>
        </w:tc>
      </w:tr>
      <w:tr>
        <w:trPr>
          <w:trHeight w:val="215"/>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lease contracts</w:t>
            </w:r>
          </w:p>
        </w:tc>
        <w:tc>
          <w:tcPr>
            <w:tcW w:w="620" w:type="dxa"/>
            <w:vAlign w:val="bottom"/>
          </w:tcPr>
          <w:p>
            <w:pPr>
              <w:spacing w:after="0"/>
              <w:rPr>
                <w:sz w:val="18"/>
                <w:szCs w:val="18"/>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1,437,781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Termination of lease contracts</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1,041,844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0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non-cash investing and financing activities</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Significant non-cash investing and financing activities not included in the consolidated statement of cash flows for the year ended December 31, 2025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6"/>
        </w:trPr>
        <w:tc>
          <w:tcPr>
            <w:tcW w:w="26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6"/>
                <w:szCs w:val="16"/>
                <w:color w:val="auto"/>
              </w:rPr>
            </w:pPr>
          </w:p>
        </w:tc>
      </w:tr>
      <w:tr>
        <w:trPr>
          <w:trHeight w:val="215"/>
        </w:trPr>
        <w:tc>
          <w:tcPr>
            <w:tcW w:w="26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Korean</w:t>
            </w:r>
          </w:p>
        </w:tc>
      </w:tr>
      <w:tr>
        <w:trPr>
          <w:trHeight w:val="237"/>
        </w:trPr>
        <w:tc>
          <w:tcPr>
            <w:tcW w:w="26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won)</w:t>
            </w:r>
          </w:p>
        </w:tc>
      </w:tr>
      <w:tr>
        <w:trPr>
          <w:trHeight w:val="215"/>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related to acquisition of property and equipment</w:t>
            </w:r>
          </w:p>
        </w:tc>
        <w:tc>
          <w:tcPr>
            <w:tcW w:w="15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12,124</w:t>
            </w:r>
          </w:p>
        </w:tc>
      </w:tr>
      <w:tr>
        <w:trPr>
          <w:trHeight w:val="215"/>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 related to acquisition of intangible assets</w:t>
            </w:r>
          </w:p>
        </w:tc>
        <w:tc>
          <w:tcPr>
            <w:tcW w:w="15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55,990</w:t>
            </w:r>
          </w:p>
        </w:tc>
      </w:tr>
      <w:tr>
        <w:trPr>
          <w:trHeight w:val="215"/>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right-of-use assets</w:t>
            </w: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1,461,391</w:t>
            </w:r>
          </w:p>
        </w:tc>
        <w:tc>
          <w:tcPr>
            <w:tcW w:w="100" w:type="dxa"/>
            <w:vAlign w:val="bottom"/>
            <w:shd w:val="clear" w:color="auto" w:fill="CCEEFF"/>
          </w:tcPr>
          <w:p>
            <w:pPr>
              <w:spacing w:after="0"/>
              <w:rPr>
                <w:sz w:val="18"/>
                <w:szCs w:val="18"/>
                <w:color w:val="auto"/>
              </w:rPr>
            </w:pPr>
          </w:p>
        </w:tc>
      </w:tr>
      <w:tr>
        <w:trPr>
          <w:trHeight w:val="215"/>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of inventories</w:t>
            </w:r>
          </w:p>
        </w:tc>
        <w:tc>
          <w:tcPr>
            <w:tcW w:w="1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of lease assets</w:t>
            </w: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37. Contingent Liabilities and Commitments</w:t>
            </w: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there are no legal proceedings pending in which the Group is a defendant.</w:t>
            </w: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Guarantees Received</w:t>
            </w: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payment guarantees provided to the Group by third parties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Guarantee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1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630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Seoul Guarantee Insurance</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KRW</w:t>
            </w:r>
          </w:p>
        </w:tc>
        <w:tc>
          <w:tcPr>
            <w:tcW w:w="2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Contract performance</w:t>
            </w:r>
          </w:p>
        </w:tc>
        <w:tc>
          <w:tcPr>
            <w:tcW w:w="100" w:type="dxa"/>
            <w:vAlign w:val="bottom"/>
            <w:tcBorders>
              <w:top w:val="single" w:sz="8" w:color="CCEEFF"/>
            </w:tcBorders>
            <w:shd w:val="clear" w:color="auto" w:fill="CCEEFF"/>
          </w:tcPr>
          <w:p>
            <w:pPr>
              <w:spacing w:after="0"/>
              <w:rPr>
                <w:sz w:val="16"/>
                <w:szCs w:val="16"/>
                <w:color w:val="auto"/>
              </w:rPr>
            </w:pPr>
          </w:p>
        </w:tc>
      </w:tr>
      <w:tr>
        <w:trPr>
          <w:trHeight w:val="233"/>
        </w:trPr>
        <w:tc>
          <w:tcPr>
            <w:tcW w:w="6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194,650</w:t>
            </w:r>
          </w:p>
        </w:tc>
        <w:tc>
          <w:tcPr>
            <w:tcW w:w="2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guarantees and others</w:t>
            </w:r>
          </w:p>
        </w:tc>
      </w:tr>
      <w:tr>
        <w:trPr>
          <w:trHeight w:val="196"/>
        </w:trPr>
        <w:tc>
          <w:tcPr>
            <w:tcW w:w="6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Software Contractors Mutual Aid Association (*)</w:t>
            </w:r>
          </w:p>
        </w:tc>
        <w:tc>
          <w:tcPr>
            <w:tcW w:w="138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KRW</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Contract performance</w:t>
            </w:r>
          </w:p>
        </w:tc>
      </w:tr>
      <w:tr>
        <w:trPr>
          <w:trHeight w:val="233"/>
        </w:trPr>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8,516,637</w:t>
            </w:r>
          </w:p>
        </w:tc>
        <w:tc>
          <w:tcPr>
            <w:tcW w:w="2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guarantees and others</w:t>
            </w:r>
          </w:p>
        </w:tc>
      </w:tr>
      <w:tr>
        <w:trPr>
          <w:trHeight w:val="215"/>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KDB Bank</w:t>
            </w:r>
          </w:p>
        </w:tc>
        <w:tc>
          <w:tcPr>
            <w:tcW w:w="13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USD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P-BOND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81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3" w:lineRule="exact"/>
        <w:rPr>
          <w:sz w:val="20"/>
          <w:szCs w:val="20"/>
          <w:color w:val="auto"/>
        </w:rPr>
      </w:pPr>
    </w:p>
    <w:p>
      <w:pPr>
        <w:ind w:left="320" w:right="20" w:hanging="313"/>
        <w:spacing w:after="0" w:line="279" w:lineRule="auto"/>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amount of the membership contributions has been pledged as collateral, and the guarantee limit as of December 31, 2025 amounts to Korean won 29,629,898 thousand (see Notes 6 and 10).</w:t>
      </w:r>
    </w:p>
    <w:p>
      <w:pPr>
        <w:spacing w:after="0" w:line="1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Commitments with Financial Institutions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commitments entered into by the Group with financial institutions as of December 31, 2025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Institution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Credit Limit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Drawn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6"/>
        </w:trPr>
        <w:tc>
          <w:tcPr>
            <w:tcW w:w="4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tcBorders>
              <w:top w:val="single" w:sz="8" w:color="auto"/>
            </w:tcBorders>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(In thousands of Korean won</w:t>
            </w:r>
          </w:p>
        </w:tc>
        <w:tc>
          <w:tcPr>
            <w:tcW w:w="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and USD)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KDB Bank</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5"/>
              </w:rPr>
              <w:t>KRW</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5,000,000</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line</w:t>
            </w:r>
          </w:p>
        </w:tc>
      </w:tr>
      <w:tr>
        <w:trPr>
          <w:trHeight w:val="21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Shinhan Bank</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KRW</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3,000,000</w:t>
            </w:r>
          </w:p>
        </w:tc>
        <w:tc>
          <w:tcPr>
            <w:tcW w:w="10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line</w:t>
            </w:r>
          </w:p>
        </w:tc>
      </w:tr>
      <w:tr>
        <w:trPr>
          <w:trHeight w:val="215"/>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Shinhan Bank</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3,000,000</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USANCE (*)</w:t>
            </w:r>
          </w:p>
        </w:tc>
      </w:tr>
      <w:tr>
        <w:trPr>
          <w:trHeight w:val="21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Hana Bank</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KRW</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w:t>
            </w:r>
          </w:p>
        </w:tc>
        <w:tc>
          <w:tcPr>
            <w:tcW w:w="10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line</w:t>
            </w:r>
          </w:p>
        </w:tc>
      </w:tr>
      <w:tr>
        <w:trPr>
          <w:trHeight w:val="215"/>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KB Kookmin Bank</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5"/>
              </w:rPr>
              <w:t>KRW</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900,000</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line</w:t>
            </w:r>
          </w:p>
        </w:tc>
      </w:tr>
      <w:tr>
        <w:trPr>
          <w:trHeight w:val="196"/>
        </w:trPr>
        <w:tc>
          <w:tcPr>
            <w:tcW w:w="5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Industrial Bank of Korea</w:t>
            </w:r>
          </w:p>
        </w:tc>
        <w:tc>
          <w:tcPr>
            <w:tcW w:w="136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5"/>
              </w:rPr>
              <w:t>KRW</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Electronic accounts</w:t>
            </w:r>
          </w:p>
        </w:tc>
      </w:tr>
      <w:tr>
        <w:trPr>
          <w:trHeight w:val="233"/>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2,000,000</w:t>
            </w:r>
          </w:p>
        </w:tc>
        <w:tc>
          <w:tcPr>
            <w:tcW w:w="10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financing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17811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relates to supplier finance arrangements (see Note 14).</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HANSOL INTICUBE CO.,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Shareholders’ Agreement</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Group has entered into a shareholders’ agreement with certain related parties (existing shareholders) in connection with its subsidiary, Stickers Corporation Co., Ltd. Under the agreement, the Group holds pre-emptive rights and tag-along rights on certain shareholders’ equity interests under the same terms and conditions, while certain shareholders hold similar rights with respect to the Group.</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Change in Major Shareholder</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largest shareholder of the parent company, Hansol Holdings Co., Ltd., entered into a share purchase agreement on December 19, 2025 to dispose of 34.00% of its ownership interest in the parent company to Playverse Co., Ltd. The transaction was completed on March 10, 2026 (refer to the disclosure titled “Execution of Share Transfer Agreement Accompanied by Change in Largest Shareholder” filed on the Financial Supervisory Service’s electronic disclosure system on December 19, 2025).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Transaction</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2025, Playverse Co. Ltd. (“Playverse”), an indirect wholly owned subsidiary of K Wave Media Ltd. (the “Company”), entered into a Share Purchase Agreement (the “Purchase Agreement”) with Hansol Holdings Co., Ltd., Lee Mi-sung and Cho Hyun-seung (collectively, the “Sellers”), pursuant to which Playverse agreed to purchase from the Sellers and the Sellers agreed to sell to Playverse an aggregate of 5,864,088 shares common stock (the “Purchased Shares”) of Hansol Inticube Co., an AI language and software development company with core capabilities in AI contact center solutions, voice recognition, chatbots, smart solutions and platform technologies (“Hansol”).</w:t>
      </w:r>
    </w:p>
    <w:p>
      <w:pPr>
        <w:spacing w:after="0" w:line="18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Shares represent approximately 42.25% of the outstanding shares of common stock of Hansol. While the Company acquired a 42.25% equity interest in Hansol Inticube, it concluded that it obtained control of the target as of the acquisition date. The Company obtained the power to govern the financial and operating policies of the target through contractual arrangements granting it the right to appoint a majority of the board and senior management of the target, including the sellers’ commitment to vote in favor of the Company’s nominated directors and the resignation of the incumbent registered officers at closing. Pursuant to the Purchase Agreement, the aggregate purchase price for the Shares pursuant to was KRW15,000,337,104 (the “Hansol Acquisition”). The Purchase Agreement contains customary representations, warranties and covenants by the parties and customary indemnification obligations of the parties.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4, 2026, the Company announced that its Board of Directors had approved the disposition of Play Co., Ltd. (“Play”) to its previous owner. The proposed disposition is subject to shareholder approval at the Company’s 2026 annual general meeting of its stockholders, scheduled to occur on July 10, 2026. If the disposition of Play is approved by the Company’s shareholders and consummated, the acquisition of Play will be unwound and treated as if the original transaction had not occurred. As part of the recission, the parties will mutually release each other from obligations arising under the original share purchase agreement, including the Company’s remaining obligation to pay approximately $25.0 million of unpaid purchase consideration. Hansol is an indirect subsidiary of the Company through Play. As such, if the disposition of Play is approved by the Company’s shareholders and the transaction is consummated, then Hansol will no longer be a subsidiary of the Company.</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May 29, 2026, the Company entered into a recission and termination agreement (the “Solaire Recission Agreement”) with former owners of Solaire Partners, pursuant to which the parties agreed to terminate and rescind the original share purchase agreement dated 2023. Under the terms of the Solaire Recission Agreement, the acquisition of Solaire is to be unwound and treated as if the original transaction had not occurred.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in accordance with Article 11 of Regulation S-X under the Securities Act of 1933, as amended by the final rule, Release No.33-10786 “</w:t>
      </w:r>
      <w:r>
        <w:rPr>
          <w:rFonts w:ascii="Times New Roman" w:cs="Times New Roman" w:eastAsia="Times New Roman" w:hAnsi="Times New Roman"/>
          <w:sz w:val="18"/>
          <w:szCs w:val="18"/>
          <w:i w:val="1"/>
          <w:iCs w:val="1"/>
          <w:color w:val="auto"/>
        </w:rPr>
        <w:t>Amendments to Financial Disclosures about Acquired and Disposed Businesses,</w:t>
      </w:r>
      <w:r>
        <w:rPr>
          <w:rFonts w:ascii="Times New Roman" w:cs="Times New Roman" w:eastAsia="Times New Roman" w:hAnsi="Times New Roman"/>
          <w:sz w:val="18"/>
          <w:szCs w:val="18"/>
          <w:color w:val="auto"/>
        </w:rPr>
        <w:t>” and have been adjusted to include estimated transaction accounting adjustments which give effect to the Hansol Acquisition and the application of the acquisition method of accounting under IFRS. Under the acquisition method of accounting, the preliminary purchase price is allocated to the underlying tangible and intangible assets acquired and liabilities assumed based on their estimated fair values as of the acquisition date, with any excess purchase price allocated to goodwill. The pro forma adjustments are based on preliminary estimates and currently available information and assumptions that the Company’s management believes are reasonable. The notes to the unaudited pro forma condensed combined financial statements provide a discussion of how such adjustments were derived and presented in the unaudited pro forma condensed combined financial statements (“Acquisition Adjustments”). Changes in facts and circumstances or discovery of new information may result in revised estimates. Actual results and valuations may differ materially from the assumptions within the accompanying unaudited pro forma condensed combined financial information.</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accompanying unaudited pro forma condensed combined statements of operations for the year ended December 31, 2025 combine the historical consolidated statements of operations for K Wave and the historical statements of operations for Hansol for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345440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1" w:name="page62"/>
    <w:bookmarkEnd w:id="61"/>
    <w:p>
      <w:pPr>
        <w:jc w:val="both"/>
        <w:spacing w:after="0" w:line="264"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2025 gives effect to the Hansol Acquisition as if it occurred on December 31, 2025. The unaudited pro forma condensed combined statements of operations for the year ended December 31, 2025 give effect to the Acquisition as if it occurred on January 1, 2025.</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for illustrative and informational purposes only and are not intended to represent what the Company’s results of operations or financial position would have been had the Acquisition occurred on the dates indicated, or what they will be for any future periods. The unaudited pro forma condensed combined financial statements do not reflect the realization of any expected cost savings, other synergies as a result of the acquisition, or integration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and related notes have been derived from, and should be read in conjunction with:</w:t>
      </w:r>
    </w:p>
    <w:p>
      <w:pPr>
        <w:spacing w:after="0" w:line="222" w:lineRule="exact"/>
        <w:rPr>
          <w:sz w:val="20"/>
          <w:szCs w:val="20"/>
          <w:color w:val="auto"/>
        </w:rPr>
      </w:pPr>
    </w:p>
    <w:p>
      <w:pPr>
        <w:ind w:left="320" w:hanging="313"/>
        <w:spacing w:after="0" w:line="279" w:lineRule="auto"/>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K Wave and accompanying notes included in K Wave’s Annual Report on Form 20-F for the year ended December 31, 2025, which was filed with the Securities and Exchange Commission (“SEC”) on May 15, 2026;</w:t>
      </w:r>
    </w:p>
    <w:p>
      <w:pPr>
        <w:spacing w:after="0" w:line="162"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Hansol and accompanying notes for the years ended December 31, 2025, appearing within this Current Report on Form 6-K as Exhibit 99.1.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spacing w:after="0" w:line="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7"/>
              </w:rPr>
              <w:t>In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4"/>
              </w:rPr>
              <w:t>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4"/>
              </w:rPr>
              <w:t>of KRW</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78"/>
              <w:spacing w:after="0" w:line="134" w:lineRule="exact"/>
              <w:rPr>
                <w:sz w:val="20"/>
                <w:szCs w:val="20"/>
                <w:color w:val="auto"/>
              </w:rPr>
            </w:pPr>
            <w:r>
              <w:rPr>
                <w:rFonts w:ascii="Times New Roman" w:cs="Times New Roman" w:eastAsia="Times New Roman" w:hAnsi="Times New Roman"/>
                <w:sz w:val="13"/>
                <w:szCs w:val="13"/>
                <w:b w:val="1"/>
                <w:bCs w:val="1"/>
                <w:color w:val="auto"/>
                <w:w w:val="99"/>
              </w:rPr>
              <w:t>thousands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38"/>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 thousands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58"/>
              <w:spacing w:after="0" w:line="134" w:lineRule="exact"/>
              <w:rPr>
                <w:sz w:val="20"/>
                <w:szCs w:val="20"/>
                <w:color w:val="auto"/>
              </w:rPr>
            </w:pPr>
            <w:r>
              <w:rPr>
                <w:rFonts w:ascii="Times New Roman" w:cs="Times New Roman" w:eastAsia="Times New Roman" w:hAnsi="Times New Roman"/>
                <w:sz w:val="13"/>
                <w:szCs w:val="13"/>
                <w:b w:val="1"/>
                <w:bCs w:val="1"/>
                <w:color w:val="auto"/>
                <w:w w:val="94"/>
              </w:rPr>
              <w:t>of KRW</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9"/>
              </w:rPr>
              <w:t>thousands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Playverse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78"/>
              <w:spacing w:after="0" w:line="134" w:lineRule="exact"/>
              <w:rPr>
                <w:sz w:val="20"/>
                <w:szCs w:val="20"/>
                <w:color w:val="auto"/>
              </w:rPr>
            </w:pPr>
            <w:r>
              <w:rPr>
                <w:rFonts w:ascii="Times New Roman" w:cs="Times New Roman" w:eastAsia="Times New Roman" w:hAnsi="Times New Roman"/>
                <w:sz w:val="13"/>
                <w:szCs w:val="13"/>
                <w:b w:val="1"/>
                <w:bCs w:val="1"/>
                <w:color w:val="auto"/>
                <w:w w:val="94"/>
              </w:rPr>
              <w:t>of KRW</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
              <w:spacing w:after="0" w:line="134" w:lineRule="exact"/>
              <w:rPr>
                <w:sz w:val="20"/>
                <w:szCs w:val="20"/>
                <w:color w:val="auto"/>
              </w:rPr>
            </w:pPr>
            <w:r>
              <w:rPr>
                <w:rFonts w:ascii="Times New Roman" w:cs="Times New Roman" w:eastAsia="Times New Roman" w:hAnsi="Times New Roman"/>
                <w:sz w:val="13"/>
                <w:szCs w:val="13"/>
                <w:b w:val="1"/>
                <w:bCs w:val="1"/>
                <w:color w:val="auto"/>
                <w:w w:val="94"/>
              </w:rPr>
              <w:t>of KRW</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58"/>
              <w:spacing w:after="0" w:line="134" w:lineRule="exact"/>
              <w:rPr>
                <w:sz w:val="20"/>
                <w:szCs w:val="20"/>
                <w:color w:val="auto"/>
              </w:rPr>
            </w:pPr>
            <w:r>
              <w:rPr>
                <w:rFonts w:ascii="Times New Roman" w:cs="Times New Roman" w:eastAsia="Times New Roman" w:hAnsi="Times New Roman"/>
                <w:sz w:val="13"/>
                <w:szCs w:val="13"/>
                <w:b w:val="1"/>
                <w:bCs w:val="1"/>
                <w:color w:val="auto"/>
                <w:w w:val="92"/>
              </w:rPr>
              <w:t>Solaire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 thousands</w:t>
            </w:r>
          </w:p>
        </w:tc>
        <w:tc>
          <w:tcPr>
            <w:tcW w:w="18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 thousands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4"/>
              </w:rPr>
              <w:t>In thousands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4"/>
              </w:rPr>
              <w:t>of KRW</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78"/>
              <w:spacing w:after="0" w:line="134"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
              <w:spacing w:after="0" w:line="134" w:lineRule="exact"/>
              <w:rPr>
                <w:sz w:val="20"/>
                <w:szCs w:val="20"/>
                <w:color w:val="auto"/>
              </w:rPr>
            </w:pPr>
            <w:r>
              <w:rPr>
                <w:rFonts w:ascii="Times New Roman" w:cs="Times New Roman" w:eastAsia="Times New Roman" w:hAnsi="Times New Roman"/>
                <w:sz w:val="13"/>
                <w:szCs w:val="13"/>
                <w:b w:val="1"/>
                <w:bCs w:val="1"/>
                <w:color w:val="auto"/>
                <w:w w:val="97"/>
              </w:rPr>
              <w:t>Play Co. Ltd.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58"/>
              <w:spacing w:after="0" w:line="134" w:lineRule="exact"/>
              <w:rPr>
                <w:sz w:val="20"/>
                <w:szCs w:val="20"/>
                <w:color w:val="auto"/>
              </w:rPr>
            </w:pPr>
            <w:r>
              <w:rPr>
                <w:rFonts w:ascii="Times New Roman" w:cs="Times New Roman" w:eastAsia="Times New Roman" w:hAnsi="Times New Roman"/>
                <w:sz w:val="13"/>
                <w:szCs w:val="13"/>
                <w:b w:val="1"/>
                <w:bCs w:val="1"/>
                <w:color w:val="auto"/>
                <w:w w:val="99"/>
              </w:rPr>
              <w:t>Partners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8"/>
              </w:rPr>
              <w:t>of KRW</w:t>
            </w:r>
          </w:p>
        </w:tc>
        <w:tc>
          <w:tcPr>
            <w:tcW w:w="18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8"/>
              </w:rPr>
              <w:t>of KRW</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4"/>
              </w:rPr>
              <w:t>of KRW</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Bank Loan</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Contribution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58"/>
              <w:spacing w:after="0" w:line="134"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38"/>
              <w:spacing w:after="0" w:line="134" w:lineRule="exact"/>
              <w:rPr>
                <w:sz w:val="20"/>
                <w:szCs w:val="20"/>
                <w:color w:val="auto"/>
              </w:rPr>
            </w:pPr>
            <w:r>
              <w:rPr>
                <w:rFonts w:ascii="Times New Roman" w:cs="Times New Roman" w:eastAsia="Times New Roman" w:hAnsi="Times New Roman"/>
                <w:sz w:val="13"/>
                <w:szCs w:val="13"/>
                <w:b w:val="1"/>
                <w:bCs w:val="1"/>
                <w:color w:val="auto"/>
                <w:w w:val="96"/>
              </w:rPr>
              <w:t>Recission</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78"/>
              <w:spacing w:after="0" w:line="134" w:lineRule="exact"/>
              <w:rPr>
                <w:sz w:val="20"/>
                <w:szCs w:val="20"/>
                <w:color w:val="auto"/>
              </w:rPr>
            </w:pPr>
            <w:r>
              <w:rPr>
                <w:rFonts w:ascii="Times New Roman" w:cs="Times New Roman" w:eastAsia="Times New Roman" w:hAnsi="Times New Roman"/>
                <w:sz w:val="13"/>
                <w:szCs w:val="13"/>
                <w:b w:val="1"/>
                <w:bCs w:val="1"/>
                <w:color w:val="auto"/>
                <w:w w:val="96"/>
              </w:rPr>
              <w:t>Recission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 thousands</w:t>
            </w: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2"/>
              </w:rPr>
              <w:t>K Wave</w:t>
            </w:r>
          </w:p>
        </w:tc>
        <w:tc>
          <w:tcPr>
            <w:tcW w:w="18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Hansol</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78"/>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58"/>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8"/>
              </w:rPr>
              <w:t>of KRW</w:t>
            </w: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8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2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2"/>
              </w:rPr>
              <w:t>Note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Adjustment</w:t>
            </w:r>
          </w:p>
        </w:tc>
        <w:tc>
          <w:tcPr>
            <w:tcW w:w="440" w:type="dxa"/>
            <w:vAlign w:val="bottom"/>
            <w:gridSpan w:val="2"/>
          </w:tcPr>
          <w:p>
            <w:pPr>
              <w:jc w:val="center"/>
              <w:ind w:right="117"/>
              <w:spacing w:after="0" w:line="134"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8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Adjustment</w:t>
            </w:r>
          </w:p>
        </w:tc>
        <w:tc>
          <w:tcPr>
            <w:tcW w:w="440" w:type="dxa"/>
            <w:vAlign w:val="bottom"/>
            <w:gridSpan w:val="3"/>
          </w:tcPr>
          <w:p>
            <w:pPr>
              <w:jc w:val="right"/>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84"/>
              </w:rPr>
              <w:t>Note</w:t>
            </w:r>
          </w:p>
        </w:tc>
        <w:tc>
          <w:tcPr>
            <w:tcW w:w="760" w:type="dxa"/>
            <w:vAlign w:val="bottom"/>
            <w:gridSpan w:val="2"/>
          </w:tcPr>
          <w:p>
            <w:pPr>
              <w:jc w:val="center"/>
              <w:ind w:right="78"/>
              <w:spacing w:after="0" w:line="134" w:lineRule="exact"/>
              <w:rPr>
                <w:sz w:val="20"/>
                <w:szCs w:val="20"/>
                <w:color w:val="auto"/>
              </w:rPr>
            </w:pPr>
            <w:r>
              <w:rPr>
                <w:rFonts w:ascii="Times New Roman" w:cs="Times New Roman" w:eastAsia="Times New Roman" w:hAnsi="Times New Roman"/>
                <w:sz w:val="13"/>
                <w:szCs w:val="13"/>
                <w:b w:val="1"/>
                <w:bCs w:val="1"/>
                <w:color w:val="auto"/>
                <w:w w:val="97"/>
              </w:rPr>
              <w:t>Adjustment</w:t>
            </w:r>
          </w:p>
        </w:tc>
        <w:tc>
          <w:tcPr>
            <w:tcW w:w="2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180" w:type="dxa"/>
            <w:vAlign w:val="bottom"/>
          </w:tcPr>
          <w:p>
            <w:pPr>
              <w:spacing w:after="0"/>
              <w:rPr>
                <w:sz w:val="11"/>
                <w:szCs w:val="11"/>
                <w:color w:val="auto"/>
              </w:rPr>
            </w:pPr>
          </w:p>
        </w:tc>
        <w:tc>
          <w:tcPr>
            <w:tcW w:w="780" w:type="dxa"/>
            <w:vAlign w:val="bottom"/>
            <w:gridSpan w:val="2"/>
          </w:tcPr>
          <w:p>
            <w:pPr>
              <w:jc w:val="center"/>
              <w:ind w:right="18"/>
              <w:spacing w:after="0" w:line="134" w:lineRule="exact"/>
              <w:rPr>
                <w:sz w:val="20"/>
                <w:szCs w:val="20"/>
                <w:color w:val="auto"/>
              </w:rPr>
            </w:pPr>
            <w:r>
              <w:rPr>
                <w:rFonts w:ascii="Times New Roman" w:cs="Times New Roman" w:eastAsia="Times New Roman" w:hAnsi="Times New Roman"/>
                <w:sz w:val="13"/>
                <w:szCs w:val="13"/>
                <w:b w:val="1"/>
                <w:bCs w:val="1"/>
                <w:color w:val="auto"/>
                <w:w w:val="97"/>
              </w:rPr>
              <w:t>Adjustment</w:t>
            </w:r>
          </w:p>
        </w:tc>
        <w:tc>
          <w:tcPr>
            <w:tcW w:w="2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2"/>
              </w:rPr>
              <w:t>Note</w:t>
            </w:r>
          </w:p>
        </w:tc>
        <w:tc>
          <w:tcPr>
            <w:tcW w:w="180" w:type="dxa"/>
            <w:vAlign w:val="bottom"/>
          </w:tcPr>
          <w:p>
            <w:pPr>
              <w:spacing w:after="0"/>
              <w:rPr>
                <w:sz w:val="11"/>
                <w:szCs w:val="11"/>
                <w:color w:val="auto"/>
              </w:rPr>
            </w:pPr>
          </w:p>
        </w:tc>
        <w:tc>
          <w:tcPr>
            <w:tcW w:w="820" w:type="dxa"/>
            <w:vAlign w:val="bottom"/>
            <w:gridSpan w:val="2"/>
          </w:tcPr>
          <w:p>
            <w:pPr>
              <w:jc w:val="center"/>
              <w:ind w:right="58"/>
              <w:spacing w:after="0" w:line="134" w:lineRule="exact"/>
              <w:rPr>
                <w:sz w:val="20"/>
                <w:szCs w:val="20"/>
                <w:color w:val="auto"/>
              </w:rPr>
            </w:pPr>
            <w:r>
              <w:rPr>
                <w:rFonts w:ascii="Times New Roman" w:cs="Times New Roman" w:eastAsia="Times New Roman" w:hAnsi="Times New Roman"/>
                <w:sz w:val="13"/>
                <w:szCs w:val="13"/>
                <w:b w:val="1"/>
                <w:bCs w:val="1"/>
                <w:color w:val="auto"/>
                <w:w w:val="97"/>
              </w:rPr>
              <w:t>Adjustment</w:t>
            </w:r>
          </w:p>
        </w:tc>
        <w:tc>
          <w:tcPr>
            <w:tcW w:w="2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(Note 5)</w:t>
            </w:r>
          </w:p>
        </w:tc>
        <w:tc>
          <w:tcPr>
            <w:tcW w:w="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Ref</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(Note 5)</w:t>
            </w:r>
          </w:p>
        </w:tc>
        <w:tc>
          <w:tcPr>
            <w:tcW w:w="440" w:type="dxa"/>
            <w:vAlign w:val="bottom"/>
            <w:gridSpan w:val="2"/>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(Note 5)</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Ref</w:t>
            </w:r>
          </w:p>
        </w:tc>
        <w:tc>
          <w:tcPr>
            <w:tcW w:w="760" w:type="dxa"/>
            <w:vAlign w:val="bottom"/>
            <w:gridSpan w:val="2"/>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8"/>
              </w:rPr>
              <w:t>(Note 5)</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180" w:type="dxa"/>
            <w:vAlign w:val="bottom"/>
          </w:tcPr>
          <w:p>
            <w:pPr>
              <w:spacing w:after="0"/>
              <w:rPr>
                <w:sz w:val="13"/>
                <w:szCs w:val="13"/>
                <w:color w:val="auto"/>
              </w:rPr>
            </w:pPr>
          </w:p>
        </w:tc>
        <w:tc>
          <w:tcPr>
            <w:tcW w:w="780" w:type="dxa"/>
            <w:vAlign w:val="bottom"/>
            <w:gridSpan w:val="2"/>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4"/>
              </w:rPr>
              <w:t>(Note 5)</w:t>
            </w:r>
          </w:p>
        </w:tc>
        <w:tc>
          <w:tcPr>
            <w:tcW w:w="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Ref</w:t>
            </w:r>
          </w:p>
        </w:tc>
        <w:tc>
          <w:tcPr>
            <w:tcW w:w="180" w:type="dxa"/>
            <w:vAlign w:val="bottom"/>
          </w:tcPr>
          <w:p>
            <w:pPr>
              <w:spacing w:after="0"/>
              <w:rPr>
                <w:sz w:val="13"/>
                <w:szCs w:val="13"/>
                <w:color w:val="auto"/>
              </w:rPr>
            </w:pPr>
          </w:p>
        </w:tc>
        <w:tc>
          <w:tcPr>
            <w:tcW w:w="820" w:type="dxa"/>
            <w:vAlign w:val="bottom"/>
            <w:gridSpan w:val="2"/>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8"/>
              </w:rPr>
              <w:t>(Note 5)</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28"/>
        </w:trPr>
        <w:tc>
          <w:tcPr>
            <w:tcW w:w="960" w:type="dxa"/>
            <w:vAlign w:val="bottom"/>
            <w:tcBorders>
              <w:top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Cash and cash</w:t>
            </w:r>
          </w:p>
        </w:tc>
        <w:tc>
          <w:tcPr>
            <w:tcW w:w="1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w w:val="81"/>
              </w:rPr>
              <w:t>₩</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5C</w:t>
            </w: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w w:val="97"/>
              </w:rPr>
              <w:t>₩</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5F  </w:t>
            </w:r>
            <w:r>
              <w:rPr>
                <w:rFonts w:ascii="Arial" w:cs="Arial" w:eastAsia="Arial" w:hAnsi="Arial"/>
                <w:sz w:val="13"/>
                <w:szCs w:val="13"/>
                <w:color w:val="auto"/>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 xml:space="preserve">5G  </w:t>
            </w: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5H</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w w:val="81"/>
              </w:rPr>
              <w:t>₩</w:t>
            </w: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w w:val="81"/>
              </w:rPr>
              <w:t>₩</w:t>
            </w: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w w:val="97"/>
              </w:rPr>
              <w:t>₩</w:t>
            </w: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equivalents</w:t>
            </w:r>
          </w:p>
        </w:tc>
        <w:tc>
          <w:tcPr>
            <w:tcW w:w="180" w:type="dxa"/>
            <w:vAlign w:val="bottom"/>
            <w:gridSpan w:val="2"/>
            <w:vMerge w:val="continue"/>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8,364,432</w:t>
            </w:r>
          </w:p>
        </w:tc>
        <w:tc>
          <w:tcPr>
            <w:tcW w:w="180" w:type="dxa"/>
            <w:vAlign w:val="bottom"/>
            <w:vMerge w:val="continue"/>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2,295,359</w:t>
            </w:r>
          </w:p>
        </w:tc>
        <w:tc>
          <w:tcPr>
            <w:tcW w:w="200" w:type="dxa"/>
            <w:vAlign w:val="bottom"/>
            <w:gridSpan w:val="2"/>
            <w:vMerge w:val="continue"/>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(11,999,970)</w:t>
            </w:r>
          </w:p>
        </w:tc>
        <w:tc>
          <w:tcPr>
            <w:tcW w:w="24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4,728,200</w:t>
            </w:r>
          </w:p>
        </w:tc>
        <w:tc>
          <w:tcPr>
            <w:tcW w:w="440" w:type="dxa"/>
            <w:vAlign w:val="bottom"/>
            <w:gridSpan w:val="2"/>
            <w:vMerge w:val="continue"/>
            <w:shd w:val="clear" w:color="auto" w:fill="CCEEFF"/>
          </w:tcPr>
          <w:p>
            <w:pPr>
              <w:spacing w:after="0"/>
              <w:rPr>
                <w:sz w:val="13"/>
                <w:szCs w:val="13"/>
                <w:color w:val="auto"/>
              </w:rPr>
            </w:pP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2"/>
              </w:rPr>
              <w:t>2,500,000</w:t>
            </w:r>
          </w:p>
        </w:tc>
        <w:tc>
          <w:tcPr>
            <w:tcW w:w="120" w:type="dxa"/>
            <w:vAlign w:val="bottom"/>
            <w:shd w:val="clear" w:color="auto" w:fill="CCEEFF"/>
          </w:tcPr>
          <w:p>
            <w:pPr>
              <w:spacing w:after="0"/>
              <w:rPr>
                <w:sz w:val="13"/>
                <w:szCs w:val="13"/>
                <w:color w:val="auto"/>
              </w:rPr>
            </w:pPr>
          </w:p>
        </w:tc>
        <w:tc>
          <w:tcPr>
            <w:tcW w:w="440" w:type="dxa"/>
            <w:vAlign w:val="bottom"/>
            <w:gridSpan w:val="3"/>
            <w:vMerge w:val="continue"/>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1,366,025</w:t>
            </w:r>
          </w:p>
        </w:tc>
        <w:tc>
          <w:tcPr>
            <w:tcW w:w="260" w:type="dxa"/>
            <w:vAlign w:val="bottom"/>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(6,392,489)</w:t>
            </w:r>
          </w:p>
        </w:tc>
        <w:tc>
          <w:tcPr>
            <w:tcW w:w="240" w:type="dxa"/>
            <w:vAlign w:val="bottom"/>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(49,313)</w:t>
            </w:r>
          </w:p>
        </w:tc>
        <w:tc>
          <w:tcPr>
            <w:tcW w:w="260" w:type="dxa"/>
            <w:vAlign w:val="bottom"/>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812,244</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Short-term</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8"/>
              </w:rPr>
              <w:t>financial assets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21,560</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5,837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(27,397)</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Accounts</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receivable -</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trade, net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4,380,886</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11,294,244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(15,470,395)</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(73,201)</w:t>
            </w:r>
          </w:p>
        </w:tc>
        <w:tc>
          <w:tcPr>
            <w:tcW w:w="2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131,534</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Short-term loans,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3,427,400</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(2,512,400)</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915,000</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Accounts</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receivable -</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net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536,134</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(444,795)</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91,339</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Value added tax</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receivables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162,558</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162,558</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Other current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5C</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asset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5,844,544</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4,357,183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(3,000,367)</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(4,987,933)</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2,213,424</w:t>
            </w:r>
          </w:p>
        </w:tc>
        <w:tc>
          <w:tcPr>
            <w:tcW w:w="0" w:type="dxa"/>
            <w:vAlign w:val="bottom"/>
          </w:tcPr>
          <w:p>
            <w:pPr>
              <w:spacing w:after="0"/>
              <w:rPr>
                <w:sz w:val="1"/>
                <w:szCs w:val="1"/>
                <w:color w:val="auto"/>
              </w:rPr>
            </w:pPr>
          </w:p>
        </w:tc>
      </w:tr>
      <w:tr>
        <w:trPr>
          <w:trHeight w:val="134"/>
        </w:trPr>
        <w:tc>
          <w:tcPr>
            <w:tcW w:w="9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Contract assets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1,065,645</w:t>
            </w:r>
          </w:p>
        </w:tc>
        <w:tc>
          <w:tcPr>
            <w:tcW w:w="180" w:type="dxa"/>
            <w:vAlign w:val="bottom"/>
          </w:tcPr>
          <w:p>
            <w:pPr>
              <w:spacing w:after="0"/>
              <w:rPr>
                <w:sz w:val="11"/>
                <w:szCs w:val="11"/>
                <w:color w:val="auto"/>
              </w:rPr>
            </w:pPr>
          </w:p>
        </w:tc>
        <w:tc>
          <w:tcPr>
            <w:tcW w:w="80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3,815,286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(4,138,448)</w:t>
            </w:r>
          </w:p>
        </w:tc>
        <w:tc>
          <w:tcPr>
            <w:tcW w:w="2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1"/>
                <w:szCs w:val="11"/>
                <w:color w:val="auto"/>
              </w:rPr>
            </w:pPr>
          </w:p>
        </w:tc>
        <w:tc>
          <w:tcPr>
            <w:tcW w:w="820" w:type="dxa"/>
            <w:vAlign w:val="bottom"/>
            <w:gridSpan w:val="2"/>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(517,517)</w:t>
            </w:r>
          </w:p>
        </w:tc>
        <w:tc>
          <w:tcPr>
            <w:tcW w:w="2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224,966</w:t>
            </w: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Current tax assets</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45,228</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46</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(66)</w:t>
            </w:r>
          </w:p>
        </w:tc>
        <w:tc>
          <w:tcPr>
            <w:tcW w:w="24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(45,193)</w:t>
            </w:r>
          </w:p>
        </w:tc>
        <w:tc>
          <w:tcPr>
            <w:tcW w:w="26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4"/>
        </w:trPr>
        <w:tc>
          <w:tcPr>
            <w:tcW w:w="9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Inventories, net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1,612,302</w:t>
            </w:r>
          </w:p>
        </w:tc>
        <w:tc>
          <w:tcPr>
            <w:tcW w:w="180" w:type="dxa"/>
            <w:vAlign w:val="bottom"/>
          </w:tcPr>
          <w:p>
            <w:pPr>
              <w:spacing w:after="0"/>
              <w:rPr>
                <w:sz w:val="11"/>
                <w:szCs w:val="11"/>
                <w:color w:val="auto"/>
              </w:rPr>
            </w:pPr>
          </w:p>
        </w:tc>
        <w:tc>
          <w:tcPr>
            <w:tcW w:w="80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901,244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(2,513,546)</w:t>
            </w:r>
          </w:p>
        </w:tc>
        <w:tc>
          <w:tcPr>
            <w:tcW w:w="2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1"/>
                <w:szCs w:val="11"/>
                <w:color w:val="auto"/>
              </w:rPr>
            </w:pPr>
          </w:p>
        </w:tc>
        <w:tc>
          <w:tcPr>
            <w:tcW w:w="820" w:type="dxa"/>
            <w:vAlign w:val="bottom"/>
            <w:gridSpan w:val="2"/>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Other current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8"/>
              </w:rPr>
              <w:t>financial assets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735,110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(520,110)</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215,000</w:t>
            </w:r>
          </w:p>
        </w:tc>
        <w:tc>
          <w:tcPr>
            <w:tcW w:w="0" w:type="dxa"/>
            <w:vAlign w:val="bottom"/>
          </w:tcPr>
          <w:p>
            <w:pPr>
              <w:spacing w:after="0"/>
              <w:rPr>
                <w:sz w:val="1"/>
                <w:szCs w:val="1"/>
                <w:color w:val="auto"/>
              </w:rPr>
            </w:pPr>
          </w:p>
        </w:tc>
      </w:tr>
      <w:tr>
        <w:trPr>
          <w:trHeight w:val="94"/>
        </w:trPr>
        <w:tc>
          <w:tcPr>
            <w:tcW w:w="960" w:type="dxa"/>
            <w:vAlign w:val="bottom"/>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Total current</w:t>
            </w:r>
          </w:p>
        </w:tc>
        <w:tc>
          <w:tcPr>
            <w:tcW w:w="1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26,195,799</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22,669,199</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(15,000,337)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4,728,200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2"/>
              </w:rPr>
              <w:t>2,500,000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1,366,025</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(37,007,579)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(685,227)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4,766,080</w:t>
            </w:r>
          </w:p>
        </w:tc>
        <w:tc>
          <w:tcPr>
            <w:tcW w:w="0" w:type="dxa"/>
            <w:vAlign w:val="bottom"/>
          </w:tcPr>
          <w:p>
            <w:pPr>
              <w:spacing w:after="0"/>
              <w:rPr>
                <w:sz w:val="1"/>
                <w:szCs w:val="1"/>
                <w:color w:val="auto"/>
              </w:rPr>
            </w:pPr>
          </w:p>
        </w:tc>
      </w:tr>
      <w:tr>
        <w:trPr>
          <w:trHeight w:val="96"/>
        </w:trPr>
        <w:tc>
          <w:tcPr>
            <w:tcW w:w="960" w:type="dxa"/>
            <w:vAlign w:val="bottom"/>
            <w:tcBorders>
              <w:top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1"/>
                <w:szCs w:val="11"/>
                <w:color w:val="auto"/>
              </w:rPr>
              <w:t>Long-term</w:t>
            </w: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financial</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instruments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310,908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(310,908)</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Long-term loans,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191,023</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(5,000)</w:t>
            </w:r>
          </w:p>
        </w:tc>
        <w:tc>
          <w:tcPr>
            <w:tcW w:w="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136,023</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Long-term other</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receivables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595,593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(595,593)</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w w:val="99"/>
              </w:rPr>
              <w:t>Financial assets at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fair value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through profit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or loss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1,005,980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(1,005,980)</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Long-term</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investment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securities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3,983,858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(850,572)</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(623,000)</w:t>
            </w:r>
          </w:p>
        </w:tc>
        <w:tc>
          <w:tcPr>
            <w:tcW w:w="2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2,510,286</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Investments in</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5C</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associates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587,278</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15,000,337</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(587,278)</w:t>
            </w:r>
          </w:p>
        </w:tc>
        <w:tc>
          <w:tcPr>
            <w:tcW w:w="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(15,000,337)</w:t>
            </w:r>
          </w:p>
        </w:tc>
        <w:tc>
          <w:tcPr>
            <w:tcW w:w="24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5D</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Property and</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equipment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including</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right-of-use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7,055,228</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2,266,306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(8,794,928)</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(152,459)</w:t>
            </w:r>
          </w:p>
        </w:tc>
        <w:tc>
          <w:tcPr>
            <w:tcW w:w="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374,147</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Intangible assets</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other than</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5A</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5H</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17,178,097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1,022,547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11,700,000</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(11,159,935)</w:t>
            </w:r>
          </w:p>
        </w:tc>
        <w:tc>
          <w:tcPr>
            <w:tcW w:w="2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(16,934,630)</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1,806,079</w:t>
            </w:r>
          </w:p>
        </w:tc>
        <w:tc>
          <w:tcPr>
            <w:tcW w:w="0" w:type="dxa"/>
            <w:vAlign w:val="bottom"/>
          </w:tcPr>
          <w:p>
            <w:pPr>
              <w:spacing w:after="0"/>
              <w:rPr>
                <w:sz w:val="1"/>
                <w:szCs w:val="1"/>
                <w:color w:val="auto"/>
              </w:rPr>
            </w:pPr>
          </w:p>
        </w:tc>
      </w:tr>
      <w:tr>
        <w:trPr>
          <w:trHeight w:val="134"/>
        </w:trPr>
        <w:tc>
          <w:tcPr>
            <w:tcW w:w="9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60,617,031</w:t>
            </w:r>
          </w:p>
        </w:tc>
        <w:tc>
          <w:tcPr>
            <w:tcW w:w="180" w:type="dxa"/>
            <w:vAlign w:val="bottom"/>
          </w:tcPr>
          <w:p>
            <w:pPr>
              <w:spacing w:after="0"/>
              <w:rPr>
                <w:sz w:val="11"/>
                <w:szCs w:val="11"/>
                <w:color w:val="auto"/>
              </w:rPr>
            </w:pPr>
          </w:p>
        </w:tc>
        <w:tc>
          <w:tcPr>
            <w:tcW w:w="80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2,738,757</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5,437,640</w:t>
            </w:r>
          </w:p>
        </w:tc>
        <w:tc>
          <w:tcPr>
            <w:tcW w:w="120" w:type="dxa"/>
            <w:vAlign w:val="bottom"/>
          </w:tcPr>
          <w:p>
            <w:pPr>
              <w:spacing w:after="0"/>
              <w:rPr>
                <w:sz w:val="11"/>
                <w:szCs w:val="11"/>
                <w:color w:val="auto"/>
              </w:rPr>
            </w:pPr>
          </w:p>
        </w:tc>
        <w:tc>
          <w:tcPr>
            <w:tcW w:w="2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5B</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(11,444,127)</w:t>
            </w:r>
          </w:p>
        </w:tc>
        <w:tc>
          <w:tcPr>
            <w:tcW w:w="2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1"/>
                <w:szCs w:val="11"/>
                <w:color w:val="auto"/>
              </w:rPr>
            </w:pPr>
          </w:p>
        </w:tc>
        <w:tc>
          <w:tcPr>
            <w:tcW w:w="820" w:type="dxa"/>
            <w:vAlign w:val="bottom"/>
            <w:gridSpan w:val="2"/>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(2,573,536)</w:t>
            </w:r>
          </w:p>
        </w:tc>
        <w:tc>
          <w:tcPr>
            <w:tcW w:w="2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54,775,765</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Investment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properties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2,023,317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(2,023,317)</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Other non-current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369,646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(369,646)</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Other non-current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8"/>
              </w:rPr>
              <w:t>financial assets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2,180,055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(1,472,707)</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(96,522)</w:t>
            </w:r>
          </w:p>
        </w:tc>
        <w:tc>
          <w:tcPr>
            <w:tcW w:w="2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610,826</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Other non-current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non-financial</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4,393,482</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(1,286,226)</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3,107,256</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Deferred tax</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1,016,960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2,282,216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(3,114,265)</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184,911</w:t>
            </w:r>
          </w:p>
        </w:tc>
        <w:tc>
          <w:tcPr>
            <w:tcW w:w="0" w:type="dxa"/>
            <w:vAlign w:val="bottom"/>
          </w:tcPr>
          <w:p>
            <w:pPr>
              <w:spacing w:after="0"/>
              <w:rPr>
                <w:sz w:val="1"/>
                <w:szCs w:val="1"/>
                <w:color w:val="auto"/>
              </w:rPr>
            </w:pPr>
          </w:p>
        </w:tc>
      </w:tr>
      <w:tr>
        <w:trPr>
          <w:trHeight w:val="168"/>
        </w:trPr>
        <w:tc>
          <w:tcPr>
            <w:tcW w:w="960" w:type="dxa"/>
            <w:vAlign w:val="bottom"/>
            <w:tcBorders>
              <w:bottom w:val="single" w:sz="8" w:color="CCEEFF"/>
            </w:tcBorders>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Borders>
              <w:bottom w:val="single" w:sz="8" w:color="CCEEFF"/>
            </w:tcBorders>
          </w:tcPr>
          <w:p>
            <w:pPr>
              <w:ind w:left="20"/>
              <w:spacing w:after="0" w:line="128" w:lineRule="exact"/>
              <w:rPr>
                <w:sz w:val="20"/>
                <w:szCs w:val="20"/>
                <w:color w:val="auto"/>
              </w:rPr>
            </w:pPr>
            <w:r>
              <w:rPr>
                <w:rFonts w:ascii="Arial" w:cs="Arial" w:eastAsia="Arial" w:hAnsi="Arial"/>
                <w:sz w:val="13"/>
                <w:szCs w:val="13"/>
                <w:color w:val="auto"/>
                <w:w w:val="81"/>
              </w:rPr>
              <w:t>₩</w:t>
            </w:r>
          </w:p>
        </w:tc>
        <w:tc>
          <w:tcPr>
            <w:tcW w:w="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125,733,036</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ind w:left="60"/>
              <w:spacing w:after="0" w:line="128" w:lineRule="exact"/>
              <w:rPr>
                <w:sz w:val="20"/>
                <w:szCs w:val="20"/>
                <w:color w:val="auto"/>
              </w:rPr>
            </w:pPr>
            <w:r>
              <w:rPr>
                <w:rFonts w:ascii="Arial" w:cs="Arial" w:eastAsia="Arial" w:hAnsi="Arial"/>
                <w:sz w:val="13"/>
                <w:szCs w:val="13"/>
                <w:color w:val="auto"/>
                <w:w w:val="81"/>
              </w:rPr>
              <w:t>₩</w:t>
            </w:r>
          </w:p>
        </w:tc>
        <w:tc>
          <w:tcPr>
            <w:tcW w:w="74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32,950,244</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ind w:left="40"/>
              <w:spacing w:after="0" w:line="128" w:lineRule="exact"/>
              <w:rPr>
                <w:sz w:val="20"/>
                <w:szCs w:val="20"/>
                <w:color w:val="auto"/>
              </w:rPr>
            </w:pPr>
            <w:r>
              <w:rPr>
                <w:rFonts w:ascii="Arial" w:cs="Arial" w:eastAsia="Arial" w:hAnsi="Arial"/>
                <w:sz w:val="13"/>
                <w:szCs w:val="13"/>
                <w:color w:val="auto"/>
                <w:w w:val="81"/>
              </w:rPr>
              <w:t>₩</w:t>
            </w:r>
          </w:p>
        </w:tc>
        <w:tc>
          <w:tcPr>
            <w:tcW w:w="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2,137,303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ind w:left="60"/>
              <w:spacing w:after="0" w:line="128" w:lineRule="exact"/>
              <w:rPr>
                <w:sz w:val="20"/>
                <w:szCs w:val="20"/>
                <w:color w:val="auto"/>
              </w:rPr>
            </w:pPr>
            <w:r>
              <w:rPr>
                <w:rFonts w:ascii="Arial" w:cs="Arial" w:eastAsia="Arial" w:hAnsi="Arial"/>
                <w:sz w:val="13"/>
                <w:szCs w:val="13"/>
                <w:color w:val="auto"/>
                <w:w w:val="81"/>
              </w:rPr>
              <w:t>₩</w:t>
            </w:r>
          </w:p>
        </w:tc>
        <w:tc>
          <w:tcPr>
            <w:tcW w:w="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4,728,200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jc w:val="right"/>
              <w:spacing w:after="0" w:line="128"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ind w:left="180"/>
              <w:spacing w:after="0" w:line="128" w:lineRule="exact"/>
              <w:rPr>
                <w:sz w:val="20"/>
                <w:szCs w:val="20"/>
                <w:color w:val="auto"/>
              </w:rPr>
            </w:pPr>
            <w:r>
              <w:rPr>
                <w:rFonts w:ascii="Times New Roman" w:cs="Times New Roman" w:eastAsia="Times New Roman" w:hAnsi="Times New Roman"/>
                <w:sz w:val="13"/>
                <w:szCs w:val="13"/>
                <w:color w:val="auto"/>
                <w:w w:val="92"/>
              </w:rPr>
              <w:t>2,500,000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jc w:val="right"/>
              <w:spacing w:after="0" w:line="128"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(9,793,910</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ind w:left="60"/>
              <w:spacing w:after="0" w:line="128" w:lineRule="exact"/>
              <w:rPr>
                <w:sz w:val="20"/>
                <w:szCs w:val="20"/>
                <w:color w:val="auto"/>
              </w:rPr>
            </w:pPr>
            <w:r>
              <w:rPr>
                <w:rFonts w:ascii="Arial" w:cs="Arial" w:eastAsia="Arial" w:hAnsi="Arial"/>
                <w:sz w:val="13"/>
                <w:szCs w:val="13"/>
                <w:color w:val="auto"/>
                <w:w w:val="81"/>
              </w:rPr>
              <w:t>₩</w:t>
            </w:r>
          </w:p>
        </w:tc>
        <w:tc>
          <w:tcPr>
            <w:tcW w:w="72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(85,260,478</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ind w:left="60"/>
              <w:spacing w:after="0" w:line="128" w:lineRule="exact"/>
              <w:rPr>
                <w:sz w:val="20"/>
                <w:szCs w:val="20"/>
                <w:color w:val="auto"/>
              </w:rPr>
            </w:pPr>
            <w:r>
              <w:rPr>
                <w:rFonts w:ascii="Arial" w:cs="Arial" w:eastAsia="Arial" w:hAnsi="Arial"/>
                <w:sz w:val="13"/>
                <w:szCs w:val="13"/>
                <w:color w:val="auto"/>
                <w:w w:val="81"/>
              </w:rPr>
              <w:t>₩</w:t>
            </w:r>
          </w:p>
        </w:tc>
        <w:tc>
          <w:tcPr>
            <w:tcW w:w="72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(4,723,022</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ind w:left="40"/>
              <w:spacing w:after="0" w:line="128" w:lineRule="exact"/>
              <w:rPr>
                <w:sz w:val="20"/>
                <w:szCs w:val="20"/>
                <w:color w:val="auto"/>
              </w:rPr>
            </w:pPr>
            <w:r>
              <w:rPr>
                <w:rFonts w:ascii="Arial" w:cs="Arial" w:eastAsia="Arial" w:hAnsi="Arial"/>
                <w:sz w:val="13"/>
                <w:szCs w:val="13"/>
                <w:color w:val="auto"/>
                <w:w w:val="81"/>
              </w:rPr>
              <w:t>₩</w:t>
            </w:r>
          </w:p>
        </w:tc>
        <w:tc>
          <w:tcPr>
            <w:tcW w:w="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68,271,373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9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Liabilities and</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Trade and other</w:t>
            </w:r>
          </w:p>
        </w:tc>
        <w:tc>
          <w:tcPr>
            <w:tcW w:w="18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81"/>
              </w:rPr>
              <w:t>₩</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5E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80" w:type="dxa"/>
            <w:vAlign w:val="bottom"/>
            <w:gridSpan w:val="2"/>
            <w:vMerge w:val="restart"/>
          </w:tcPr>
          <w:p>
            <w:pPr>
              <w:ind w:left="40"/>
              <w:spacing w:after="0"/>
              <w:rPr>
                <w:sz w:val="20"/>
                <w:szCs w:val="20"/>
                <w:color w:val="auto"/>
              </w:rPr>
            </w:pPr>
            <w:r>
              <w:rPr>
                <w:rFonts w:ascii="Arial" w:cs="Arial" w:eastAsia="Arial" w:hAnsi="Arial"/>
                <w:sz w:val="13"/>
                <w:szCs w:val="13"/>
                <w:color w:val="auto"/>
                <w:w w:val="97"/>
              </w:rPr>
              <w:t>₩</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payables</w:t>
            </w:r>
          </w:p>
        </w:tc>
        <w:tc>
          <w:tcPr>
            <w:tcW w:w="180" w:type="dxa"/>
            <w:vAlign w:val="bottom"/>
            <w:gridSpan w:val="2"/>
            <w:vMerge w:val="continue"/>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58,040,411</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9,725,482</w:t>
            </w:r>
          </w:p>
        </w:tc>
        <w:tc>
          <w:tcPr>
            <w:tcW w:w="200" w:type="dxa"/>
            <w:vAlign w:val="bottom"/>
            <w:gridSpan w:val="2"/>
            <w:vMerge w:val="continue"/>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45,000</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(20,399,014)</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(1,791,719)</w:t>
            </w:r>
          </w:p>
        </w:tc>
        <w:tc>
          <w:tcPr>
            <w:tcW w:w="26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9,388,142</w:t>
            </w: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(36,232,018)</w:t>
            </w:r>
          </w:p>
        </w:tc>
        <w:tc>
          <w:tcPr>
            <w:tcW w:w="24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Other current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financial</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250,000</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w w:val="98"/>
              </w:rPr>
              <w:t>Current derivative</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330,417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330,417</w:t>
            </w:r>
          </w:p>
        </w:tc>
        <w:tc>
          <w:tcPr>
            <w:tcW w:w="0" w:type="dxa"/>
            <w:vAlign w:val="bottom"/>
          </w:tcPr>
          <w:p>
            <w:pPr>
              <w:spacing w:after="0"/>
              <w:rPr>
                <w:sz w:val="1"/>
                <w:szCs w:val="1"/>
                <w:color w:val="auto"/>
              </w:rPr>
            </w:pPr>
          </w:p>
        </w:tc>
      </w:tr>
      <w:tr>
        <w:trPr>
          <w:trHeight w:val="134"/>
        </w:trPr>
        <w:tc>
          <w:tcPr>
            <w:tcW w:w="9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Warrants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528,772</w:t>
            </w:r>
          </w:p>
        </w:tc>
        <w:tc>
          <w:tcPr>
            <w:tcW w:w="180" w:type="dxa"/>
            <w:vAlign w:val="bottom"/>
          </w:tcPr>
          <w:p>
            <w:pPr>
              <w:spacing w:after="0"/>
              <w:rPr>
                <w:sz w:val="11"/>
                <w:szCs w:val="11"/>
                <w:color w:val="auto"/>
              </w:rPr>
            </w:pPr>
          </w:p>
        </w:tc>
        <w:tc>
          <w:tcPr>
            <w:tcW w:w="80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528,772</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Other current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non-financial</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1,936,895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1,456,445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(2,949,734)</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(15,313)</w:t>
            </w:r>
          </w:p>
        </w:tc>
        <w:tc>
          <w:tcPr>
            <w:tcW w:w="2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428,293</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Contract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1,252,195</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4,719,111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(4,719,111)</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1,252,195</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Short-term</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5F</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borrowings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11,171,899</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5,000,000</w:t>
            </w:r>
          </w:p>
        </w:tc>
        <w:tc>
          <w:tcPr>
            <w:tcW w:w="440" w:type="dxa"/>
            <w:vAlign w:val="bottom"/>
            <w:gridSpan w:val="2"/>
            <w:vMerge w:val="continue"/>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(8,264,000)</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(3,525,187)</w:t>
            </w:r>
          </w:p>
        </w:tc>
        <w:tc>
          <w:tcPr>
            <w:tcW w:w="2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4,382,712</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w w:val="99"/>
              </w:rPr>
              <w:t>Current portion of</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long-term</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borrowings,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2,200,000</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(2,200,000)</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Convertible notes</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28,634,020</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(8,609,400)</w:t>
            </w:r>
          </w:p>
        </w:tc>
        <w:tc>
          <w:tcPr>
            <w:tcW w:w="26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5H</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15,883,288</w:t>
            </w: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6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(4,141,332)</w:t>
            </w:r>
          </w:p>
        </w:tc>
        <w:tc>
          <w:tcPr>
            <w:tcW w:w="2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86"/>
              </w:rPr>
              <w:t>5I</w:t>
            </w:r>
          </w:p>
        </w:tc>
        <w:tc>
          <w:tcPr>
            <w:tcW w:w="180" w:type="dxa"/>
            <w:vAlign w:val="bottom"/>
          </w:tcPr>
          <w:p>
            <w:pPr>
              <w:spacing w:after="0"/>
              <w:rPr>
                <w:sz w:val="11"/>
                <w:szCs w:val="11"/>
                <w:color w:val="auto"/>
              </w:rPr>
            </w:pPr>
          </w:p>
        </w:tc>
        <w:tc>
          <w:tcPr>
            <w:tcW w:w="780" w:type="dxa"/>
            <w:vAlign w:val="bottom"/>
            <w:gridSpan w:val="2"/>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Current lease</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1,702,300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769,706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(2,283,629)</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(85,494)</w:t>
            </w:r>
          </w:p>
        </w:tc>
        <w:tc>
          <w:tcPr>
            <w:tcW w:w="2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102,883</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Other current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provisions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769,693</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432,507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(1,201,070)</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1,130</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Current tax</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5K</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1,634,666</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1,619</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(749,893)</w:t>
            </w:r>
          </w:p>
        </w:tc>
        <w:tc>
          <w:tcPr>
            <w:tcW w:w="2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(195,868)</w:t>
            </w:r>
          </w:p>
        </w:tc>
        <w:tc>
          <w:tcPr>
            <w:tcW w:w="2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690,524</w:t>
            </w:r>
          </w:p>
        </w:tc>
        <w:tc>
          <w:tcPr>
            <w:tcW w:w="0" w:type="dxa"/>
            <w:vAlign w:val="bottom"/>
          </w:tcPr>
          <w:p>
            <w:pPr>
              <w:spacing w:after="0"/>
              <w:rPr>
                <w:sz w:val="1"/>
                <w:szCs w:val="1"/>
                <w:color w:val="auto"/>
              </w:rPr>
            </w:pPr>
          </w:p>
        </w:tc>
      </w:tr>
      <w:tr>
        <w:trPr>
          <w:trHeight w:val="94"/>
        </w:trPr>
        <w:tc>
          <w:tcPr>
            <w:tcW w:w="960" w:type="dxa"/>
            <w:vAlign w:val="bottom"/>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Total current</w:t>
            </w:r>
          </w:p>
        </w:tc>
        <w:tc>
          <w:tcPr>
            <w:tcW w:w="1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108,451,268</w:t>
            </w:r>
          </w:p>
        </w:tc>
        <w:tc>
          <w:tcPr>
            <w:tcW w:w="1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17,104,870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45,000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5,000,000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(12,750,732)</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(79,248,469)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(5,613,581)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32,988,356</w:t>
            </w:r>
          </w:p>
        </w:tc>
        <w:tc>
          <w:tcPr>
            <w:tcW w:w="0" w:type="dxa"/>
            <w:vAlign w:val="bottom"/>
          </w:tcPr>
          <w:p>
            <w:pPr>
              <w:spacing w:after="0"/>
              <w:rPr>
                <w:sz w:val="1"/>
                <w:szCs w:val="1"/>
                <w:color w:val="auto"/>
              </w:rPr>
            </w:pPr>
          </w:p>
        </w:tc>
      </w:tr>
      <w:tr>
        <w:trPr>
          <w:trHeight w:val="153"/>
        </w:trPr>
        <w:tc>
          <w:tcPr>
            <w:tcW w:w="96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Trade and other</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27,297,393</w:t>
            </w: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(27,297,393</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1"/>
              </w:rPr>
              <w:t>5J</w:t>
            </w:r>
          </w:p>
        </w:tc>
        <w:tc>
          <w:tcPr>
            <w:tcW w:w="1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320" w:top="761" w:right="2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non-current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payables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Long-term</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borrowings,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excluding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current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portion, net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2,611,563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4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(2,508,608)</w:t>
            </w:r>
          </w:p>
        </w:tc>
        <w:tc>
          <w:tcPr>
            <w:tcW w:w="220" w:type="dxa"/>
            <w:vAlign w:val="bottom"/>
            <w:vMerge w:val="continue"/>
          </w:tcPr>
          <w:p>
            <w:pPr>
              <w:spacing w:after="0"/>
              <w:rPr>
                <w:sz w:val="13"/>
                <w:szCs w:val="13"/>
                <w:color w:val="auto"/>
              </w:rPr>
            </w:pPr>
          </w:p>
        </w:tc>
        <w:tc>
          <w:tcPr>
            <w:tcW w:w="100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102,955</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Other non-current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financial</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220,000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w:t>
            </w:r>
          </w:p>
        </w:tc>
        <w:tc>
          <w:tcPr>
            <w:tcW w:w="220" w:type="dxa"/>
            <w:vAlign w:val="bottom"/>
            <w:vMerge w:val="continue"/>
            <w:shd w:val="clear" w:color="auto" w:fill="CCEEFF"/>
          </w:tcPr>
          <w:p>
            <w:pPr>
              <w:spacing w:after="0"/>
              <w:rPr>
                <w:sz w:val="13"/>
                <w:szCs w:val="13"/>
                <w:color w:val="auto"/>
              </w:rPr>
            </w:pPr>
          </w:p>
        </w:tc>
        <w:tc>
          <w:tcPr>
            <w:tcW w:w="100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Other non-current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non-financial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2,565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4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gridSpan w:val="3"/>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2,565</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Non-current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Contract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650,000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650,000</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Defined benefit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5K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1,257,693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854,835</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4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(1,370,544)</w:t>
            </w:r>
          </w:p>
        </w:tc>
        <w:tc>
          <w:tcPr>
            <w:tcW w:w="220" w:type="dxa"/>
            <w:vAlign w:val="bottom"/>
            <w:vMerge w:val="continue"/>
          </w:tcPr>
          <w:p>
            <w:pPr>
              <w:spacing w:after="0"/>
              <w:rPr>
                <w:sz w:val="13"/>
                <w:szCs w:val="13"/>
                <w:color w:val="auto"/>
              </w:rPr>
            </w:pPr>
          </w:p>
        </w:tc>
        <w:tc>
          <w:tcPr>
            <w:tcW w:w="1000" w:type="dxa"/>
            <w:vAlign w:val="bottom"/>
            <w:gridSpan w:val="3"/>
          </w:tcPr>
          <w:p>
            <w:pPr>
              <w:jc w:val="right"/>
              <w:ind w:right="18"/>
              <w:spacing w:after="0"/>
              <w:rPr>
                <w:sz w:val="20"/>
                <w:szCs w:val="20"/>
                <w:color w:val="auto"/>
              </w:rPr>
            </w:pPr>
            <w:r>
              <w:rPr>
                <w:rFonts w:ascii="Times New Roman" w:cs="Times New Roman" w:eastAsia="Times New Roman" w:hAnsi="Times New Roman"/>
                <w:sz w:val="13"/>
                <w:szCs w:val="13"/>
                <w:color w:val="auto"/>
              </w:rPr>
              <w:t>(37,388)</w:t>
            </w:r>
          </w:p>
        </w:tc>
        <w:tc>
          <w:tcPr>
            <w:tcW w:w="260" w:type="dxa"/>
            <w:vAlign w:val="bottom"/>
            <w:vMerge w:val="continue"/>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704,596</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Provision for</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long-term</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employee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benefits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176,138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(176,138)</w:t>
            </w:r>
          </w:p>
        </w:tc>
        <w:tc>
          <w:tcPr>
            <w:tcW w:w="220" w:type="dxa"/>
            <w:vAlign w:val="bottom"/>
            <w:vMerge w:val="continue"/>
            <w:shd w:val="clear" w:color="auto" w:fill="CCEEFF"/>
          </w:tcPr>
          <w:p>
            <w:pPr>
              <w:spacing w:after="0"/>
              <w:rPr>
                <w:sz w:val="13"/>
                <w:szCs w:val="13"/>
                <w:color w:val="auto"/>
              </w:rPr>
            </w:pPr>
          </w:p>
        </w:tc>
        <w:tc>
          <w:tcPr>
            <w:tcW w:w="100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Contract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861,164</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4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(861,164)</w:t>
            </w:r>
          </w:p>
        </w:tc>
        <w:tc>
          <w:tcPr>
            <w:tcW w:w="220" w:type="dxa"/>
            <w:vAlign w:val="bottom"/>
            <w:vMerge w:val="continue"/>
          </w:tcPr>
          <w:p>
            <w:pPr>
              <w:spacing w:after="0"/>
              <w:rPr>
                <w:sz w:val="13"/>
                <w:szCs w:val="13"/>
                <w:color w:val="auto"/>
              </w:rPr>
            </w:pPr>
          </w:p>
        </w:tc>
        <w:tc>
          <w:tcPr>
            <w:tcW w:w="100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Other non-current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5K</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provisions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455,822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173,498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(600,527)</w:t>
            </w:r>
          </w:p>
        </w:tc>
        <w:tc>
          <w:tcPr>
            <w:tcW w:w="220" w:type="dxa"/>
            <w:vAlign w:val="bottom"/>
            <w:vMerge w:val="continue"/>
            <w:shd w:val="clear" w:color="auto" w:fill="CCEEFF"/>
          </w:tcPr>
          <w:p>
            <w:pPr>
              <w:spacing w:after="0"/>
              <w:rPr>
                <w:sz w:val="13"/>
                <w:szCs w:val="13"/>
                <w:color w:val="auto"/>
              </w:rPr>
            </w:pPr>
          </w:p>
        </w:tc>
        <w:tc>
          <w:tcPr>
            <w:tcW w:w="100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(23,734)</w:t>
            </w:r>
          </w:p>
        </w:tc>
        <w:tc>
          <w:tcPr>
            <w:tcW w:w="260" w:type="dxa"/>
            <w:vAlign w:val="bottom"/>
            <w:vMerge w:val="continue"/>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5,059</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Non-current lease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5K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6,268,969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272,137</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4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(6,420,516)</w:t>
            </w:r>
          </w:p>
        </w:tc>
        <w:tc>
          <w:tcPr>
            <w:tcW w:w="220" w:type="dxa"/>
            <w:vAlign w:val="bottom"/>
            <w:vMerge w:val="continue"/>
          </w:tcPr>
          <w:p>
            <w:pPr>
              <w:spacing w:after="0"/>
              <w:rPr>
                <w:sz w:val="13"/>
                <w:szCs w:val="13"/>
                <w:color w:val="auto"/>
              </w:rPr>
            </w:pPr>
          </w:p>
        </w:tc>
        <w:tc>
          <w:tcPr>
            <w:tcW w:w="1000" w:type="dxa"/>
            <w:vAlign w:val="bottom"/>
            <w:gridSpan w:val="3"/>
          </w:tcPr>
          <w:p>
            <w:pPr>
              <w:jc w:val="right"/>
              <w:ind w:right="18"/>
              <w:spacing w:after="0"/>
              <w:rPr>
                <w:sz w:val="20"/>
                <w:szCs w:val="20"/>
                <w:color w:val="auto"/>
              </w:rPr>
            </w:pPr>
            <w:r>
              <w:rPr>
                <w:rFonts w:ascii="Times New Roman" w:cs="Times New Roman" w:eastAsia="Times New Roman" w:hAnsi="Times New Roman"/>
                <w:sz w:val="13"/>
                <w:szCs w:val="13"/>
                <w:color w:val="auto"/>
              </w:rPr>
              <w:t>(48,033)</w:t>
            </w:r>
          </w:p>
        </w:tc>
        <w:tc>
          <w:tcPr>
            <w:tcW w:w="260" w:type="dxa"/>
            <w:vAlign w:val="bottom"/>
            <w:vMerge w:val="continue"/>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72,557</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Deferred tax</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125,759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2,574,000</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5B</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(2,574,000)</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00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125,759</w:t>
            </w:r>
          </w:p>
        </w:tc>
        <w:tc>
          <w:tcPr>
            <w:tcW w:w="0" w:type="dxa"/>
            <w:vAlign w:val="bottom"/>
          </w:tcPr>
          <w:p>
            <w:pPr>
              <w:spacing w:after="0"/>
              <w:rPr>
                <w:sz w:val="1"/>
                <w:szCs w:val="1"/>
                <w:color w:val="auto"/>
              </w:rPr>
            </w:pPr>
          </w:p>
        </w:tc>
      </w:tr>
      <w:tr>
        <w:trPr>
          <w:trHeight w:val="128"/>
        </w:trPr>
        <w:tc>
          <w:tcPr>
            <w:tcW w:w="960" w:type="dxa"/>
            <w:vAlign w:val="bottom"/>
            <w:tcBorders>
              <w:bottom w:val="single" w:sz="8" w:color="CCEEFF"/>
            </w:tcBorders>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147,341,032</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19,442,642</w:t>
            </w: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2,619,000</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5,000,000</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(12,750,732</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(121,277,359</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(5,722,736</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34,651,847</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6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Share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9,077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3"/>
                <w:szCs w:val="13"/>
                <w:color w:val="auto"/>
              </w:rPr>
              <w:t>6,939,761</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(6,939,761)</w:t>
            </w:r>
          </w:p>
        </w:tc>
        <w:tc>
          <w:tcPr>
            <w:tcW w:w="52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5D</w:t>
            </w:r>
          </w:p>
        </w:tc>
        <w:tc>
          <w:tcPr>
            <w:tcW w:w="70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972</w:t>
            </w:r>
          </w:p>
        </w:tc>
        <w:tc>
          <w:tcPr>
            <w:tcW w:w="2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86"/>
              </w:rPr>
              <w:t>5I</w:t>
            </w:r>
          </w:p>
        </w:tc>
        <w:tc>
          <w:tcPr>
            <w:tcW w:w="980" w:type="dxa"/>
            <w:vAlign w:val="bottom"/>
            <w:gridSpan w:val="3"/>
          </w:tcPr>
          <w:p>
            <w:pPr>
              <w:jc w:val="right"/>
              <w:ind w:right="3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0" w:type="dxa"/>
            <w:vAlign w:val="bottom"/>
            <w:gridSpan w:val="3"/>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5K</w:t>
            </w:r>
          </w:p>
        </w:tc>
        <w:tc>
          <w:tcPr>
            <w:tcW w:w="940" w:type="dxa"/>
            <w:vAlign w:val="bottom"/>
            <w:gridSpan w:val="3"/>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10,049</w:t>
            </w: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Share premium</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205,980,674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4,140,360</w:t>
            </w:r>
          </w:p>
        </w:tc>
        <w:tc>
          <w:tcPr>
            <w:tcW w:w="26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86"/>
              </w:rPr>
              <w:t>5I</w:t>
            </w:r>
          </w:p>
        </w:tc>
        <w:tc>
          <w:tcPr>
            <w:tcW w:w="980" w:type="dxa"/>
            <w:vAlign w:val="bottom"/>
            <w:gridSpan w:val="3"/>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5K</w:t>
            </w:r>
          </w:p>
        </w:tc>
        <w:tc>
          <w:tcPr>
            <w:tcW w:w="940" w:type="dxa"/>
            <w:vAlign w:val="bottom"/>
            <w:gridSpan w:val="3"/>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210,121,034</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w w:val="99"/>
              </w:rPr>
              <w:t>comprehensive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(4,447,032)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4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gridSpan w:val="3"/>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(4,447,032)</w:t>
            </w: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Other reserves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4" w:lineRule="exact"/>
              <w:rPr>
                <w:sz w:val="20"/>
                <w:szCs w:val="20"/>
                <w:color w:val="auto"/>
              </w:rPr>
            </w:pPr>
            <w:r>
              <w:rPr>
                <w:rFonts w:ascii="Times New Roman" w:cs="Times New Roman" w:eastAsia="Times New Roman" w:hAnsi="Times New Roman"/>
                <w:sz w:val="13"/>
                <w:szCs w:val="13"/>
                <w:color w:val="auto"/>
              </w:rPr>
              <w:t>(53,073,717)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3"/>
                <w:szCs w:val="13"/>
                <w:color w:val="auto"/>
              </w:rPr>
              <w:t>10,436,120</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(10,436,120)</w:t>
            </w:r>
          </w:p>
        </w:tc>
        <w:tc>
          <w:tcPr>
            <w:tcW w:w="520" w:type="dxa"/>
            <w:vAlign w:val="bottom"/>
            <w:gridSpan w:val="2"/>
            <w:shd w:val="clear" w:color="auto" w:fill="CCEEFF"/>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5D</w:t>
            </w:r>
          </w:p>
        </w:tc>
        <w:tc>
          <w:tcPr>
            <w:tcW w:w="70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1,664,284</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ind w:left="80"/>
              <w:spacing w:after="0" w:line="134" w:lineRule="exact"/>
              <w:rPr>
                <w:sz w:val="20"/>
                <w:szCs w:val="20"/>
                <w:color w:val="auto"/>
              </w:rPr>
            </w:pPr>
            <w:r>
              <w:rPr>
                <w:rFonts w:ascii="Times New Roman" w:cs="Times New Roman" w:eastAsia="Times New Roman" w:hAnsi="Times New Roman"/>
                <w:sz w:val="13"/>
                <w:szCs w:val="13"/>
                <w:b w:val="1"/>
                <w:bCs w:val="1"/>
                <w:color w:val="auto"/>
              </w:rPr>
              <w:t>5G</w:t>
            </w:r>
          </w:p>
        </w:tc>
        <w:tc>
          <w:tcPr>
            <w:tcW w:w="940" w:type="dxa"/>
            <w:vAlign w:val="bottom"/>
            <w:gridSpan w:val="3"/>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3"/>
                <w:szCs w:val="13"/>
                <w:color w:val="auto"/>
              </w:rPr>
              <w:t>(1,680,427)</w:t>
            </w:r>
          </w:p>
        </w:tc>
        <w:tc>
          <w:tcPr>
            <w:tcW w:w="260" w:type="dxa"/>
            <w:vAlign w:val="bottom"/>
            <w:shd w:val="clear" w:color="auto" w:fill="CCEEFF"/>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5K</w:t>
            </w:r>
          </w:p>
        </w:tc>
        <w:tc>
          <w:tcPr>
            <w:tcW w:w="940" w:type="dxa"/>
            <w:vAlign w:val="bottom"/>
            <w:gridSpan w:val="3"/>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(53,089,860)</w:t>
            </w:r>
          </w:p>
        </w:tc>
        <w:tc>
          <w:tcPr>
            <w:tcW w:w="0" w:type="dxa"/>
            <w:vAlign w:val="bottom"/>
          </w:tcPr>
          <w:p>
            <w:pPr>
              <w:spacing w:after="0"/>
              <w:rPr>
                <w:sz w:val="1"/>
                <w:szCs w:val="1"/>
                <w:color w:val="auto"/>
              </w:rPr>
            </w:pPr>
          </w:p>
        </w:tc>
      </w:tr>
      <w:tr>
        <w:trPr>
          <w:trHeight w:val="116"/>
        </w:trPr>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5D</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5F</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5H</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5K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deficit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(169,783,492)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(4,346,337)</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4,346,337</w:t>
            </w:r>
          </w:p>
        </w:tc>
        <w:tc>
          <w:tcPr>
            <w:tcW w:w="10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(271,800)</w:t>
            </w:r>
          </w:p>
        </w:tc>
        <w:tc>
          <w:tcPr>
            <w:tcW w:w="540" w:type="dxa"/>
            <w:vAlign w:val="bottom"/>
            <w:gridSpan w:val="2"/>
            <w:vMerge w:val="continue"/>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40" w:type="dxa"/>
            <w:vAlign w:val="bottom"/>
            <w:gridSpan w:val="3"/>
          </w:tcPr>
          <w:p>
            <w:pPr>
              <w:jc w:val="right"/>
              <w:ind w:right="18"/>
              <w:spacing w:after="0"/>
              <w:rPr>
                <w:sz w:val="20"/>
                <w:szCs w:val="20"/>
                <w:color w:val="auto"/>
              </w:rPr>
            </w:pPr>
            <w:r>
              <w:rPr>
                <w:rFonts w:ascii="Times New Roman" w:cs="Times New Roman" w:eastAsia="Times New Roman" w:hAnsi="Times New Roman"/>
                <w:sz w:val="13"/>
                <w:szCs w:val="13"/>
                <w:color w:val="auto"/>
              </w:rPr>
              <w:t>(1,184,510)</w:t>
            </w:r>
          </w:p>
        </w:tc>
        <w:tc>
          <w:tcPr>
            <w:tcW w:w="260" w:type="dxa"/>
            <w:vAlign w:val="bottom"/>
            <w:vMerge w:val="continue"/>
          </w:tcPr>
          <w:p>
            <w:pPr>
              <w:spacing w:after="0"/>
              <w:rPr>
                <w:sz w:val="13"/>
                <w:szCs w:val="13"/>
                <w:color w:val="auto"/>
              </w:rPr>
            </w:pPr>
          </w:p>
        </w:tc>
        <w:tc>
          <w:tcPr>
            <w:tcW w:w="980" w:type="dxa"/>
            <w:vAlign w:val="bottom"/>
            <w:gridSpan w:val="3"/>
          </w:tcPr>
          <w:p>
            <w:pPr>
              <w:jc w:val="right"/>
              <w:ind w:right="38"/>
              <w:spacing w:after="0"/>
              <w:rPr>
                <w:sz w:val="20"/>
                <w:szCs w:val="20"/>
                <w:color w:val="auto"/>
              </w:rPr>
            </w:pPr>
            <w:r>
              <w:rPr>
                <w:rFonts w:ascii="Times New Roman" w:cs="Times New Roman" w:eastAsia="Times New Roman" w:hAnsi="Times New Roman"/>
                <w:sz w:val="13"/>
                <w:szCs w:val="13"/>
                <w:color w:val="auto"/>
              </w:rPr>
              <w:t>49,087,786</w:t>
            </w:r>
          </w:p>
        </w:tc>
        <w:tc>
          <w:tcPr>
            <w:tcW w:w="220" w:type="dxa"/>
            <w:vAlign w:val="bottom"/>
            <w:vMerge w:val="continue"/>
          </w:tcPr>
          <w:p>
            <w:pPr>
              <w:spacing w:after="0"/>
              <w:rPr>
                <w:sz w:val="13"/>
                <w:szCs w:val="13"/>
                <w:color w:val="auto"/>
              </w:rPr>
            </w:pPr>
          </w:p>
        </w:tc>
        <w:tc>
          <w:tcPr>
            <w:tcW w:w="100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2,680,050</w:t>
            </w:r>
          </w:p>
        </w:tc>
        <w:tc>
          <w:tcPr>
            <w:tcW w:w="260" w:type="dxa"/>
            <w:vAlign w:val="bottom"/>
            <w:vMerge w:val="continue"/>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(119,516,966)</w:t>
            </w: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(45,000)</w:t>
            </w:r>
          </w:p>
        </w:tc>
        <w:tc>
          <w:tcPr>
            <w:tcW w:w="520" w:type="dxa"/>
            <w:vAlign w:val="bottom"/>
            <w:gridSpan w:val="2"/>
            <w:shd w:val="clear" w:color="auto" w:fill="CCEEFF"/>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5E</w:t>
            </w:r>
          </w:p>
        </w:tc>
        <w:tc>
          <w:tcPr>
            <w:tcW w:w="70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60" w:type="dxa"/>
            <w:vAlign w:val="bottom"/>
          </w:tcPr>
          <w:p>
            <w:pPr>
              <w:spacing w:after="0" w:line="96" w:lineRule="exact"/>
              <w:rPr>
                <w:sz w:val="20"/>
                <w:szCs w:val="20"/>
                <w:color w:val="auto"/>
              </w:rPr>
            </w:pPr>
            <w:r>
              <w:rPr>
                <w:rFonts w:ascii="Times New Roman" w:cs="Times New Roman" w:eastAsia="Times New Roman" w:hAnsi="Times New Roman"/>
                <w:sz w:val="11"/>
                <w:szCs w:val="11"/>
                <w:color w:val="auto"/>
              </w:rPr>
              <w:t>Equity (deficit)</w:t>
            </w: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attributable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owners of the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Parent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Company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(21,314,490)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13,029,544</w:t>
            </w: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(13,074,544)</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(271,800)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1,664,284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2,956,822</w:t>
            </w:r>
          </w:p>
        </w:tc>
        <w:tc>
          <w:tcPr>
            <w:tcW w:w="260" w:type="dxa"/>
            <w:vAlign w:val="bottom"/>
          </w:tcPr>
          <w:p>
            <w:pPr>
              <w:spacing w:after="0"/>
              <w:rPr>
                <w:sz w:val="13"/>
                <w:szCs w:val="13"/>
                <w:color w:val="auto"/>
              </w:rPr>
            </w:pPr>
          </w:p>
        </w:tc>
        <w:tc>
          <w:tcPr>
            <w:tcW w:w="980" w:type="dxa"/>
            <w:vAlign w:val="bottom"/>
            <w:gridSpan w:val="3"/>
          </w:tcPr>
          <w:p>
            <w:pPr>
              <w:jc w:val="right"/>
              <w:ind w:right="38"/>
              <w:spacing w:after="0"/>
              <w:rPr>
                <w:sz w:val="20"/>
                <w:szCs w:val="20"/>
                <w:color w:val="auto"/>
              </w:rPr>
            </w:pPr>
            <w:r>
              <w:rPr>
                <w:rFonts w:ascii="Times New Roman" w:cs="Times New Roman" w:eastAsia="Times New Roman" w:hAnsi="Times New Roman"/>
                <w:sz w:val="13"/>
                <w:szCs w:val="13"/>
                <w:color w:val="auto"/>
              </w:rPr>
              <w:t>49,087,786</w:t>
            </w:r>
          </w:p>
        </w:tc>
        <w:tc>
          <w:tcPr>
            <w:tcW w:w="220" w:type="dxa"/>
            <w:vAlign w:val="bottom"/>
          </w:tcPr>
          <w:p>
            <w:pPr>
              <w:spacing w:after="0"/>
              <w:rPr>
                <w:sz w:val="13"/>
                <w:szCs w:val="13"/>
                <w:color w:val="auto"/>
              </w:rPr>
            </w:pPr>
          </w:p>
        </w:tc>
        <w:tc>
          <w:tcPr>
            <w:tcW w:w="100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999,623</w:t>
            </w:r>
          </w:p>
        </w:tc>
        <w:tc>
          <w:tcPr>
            <w:tcW w:w="260" w:type="dxa"/>
            <w:vAlign w:val="bottom"/>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33,077,225</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Non-controlling</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5C</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5G</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5J</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5K</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(293,506)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478,058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12,592,847</w:t>
            </w:r>
          </w:p>
        </w:tc>
        <w:tc>
          <w:tcPr>
            <w:tcW w:w="520" w:type="dxa"/>
            <w:vAlign w:val="bottom"/>
            <w:gridSpan w:val="2"/>
            <w:vMerge w:val="continue"/>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835,716</w:t>
            </w:r>
          </w:p>
        </w:tc>
        <w:tc>
          <w:tcPr>
            <w:tcW w:w="300" w:type="dxa"/>
            <w:vAlign w:val="bottom"/>
            <w:vMerge w:val="continue"/>
            <w:shd w:val="clear" w:color="auto" w:fill="CCEEFF"/>
          </w:tcPr>
          <w:p>
            <w:pPr>
              <w:spacing w:after="0"/>
              <w:rPr>
                <w:sz w:val="13"/>
                <w:szCs w:val="13"/>
                <w:color w:val="auto"/>
              </w:rPr>
            </w:pPr>
          </w:p>
        </w:tc>
        <w:tc>
          <w:tcPr>
            <w:tcW w:w="94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(13,070,905)</w:t>
            </w:r>
          </w:p>
        </w:tc>
        <w:tc>
          <w:tcPr>
            <w:tcW w:w="220" w:type="dxa"/>
            <w:vAlign w:val="bottom"/>
            <w:vMerge w:val="continue"/>
            <w:shd w:val="clear" w:color="auto" w:fill="CCEEFF"/>
          </w:tcPr>
          <w:p>
            <w:pPr>
              <w:spacing w:after="0"/>
              <w:rPr>
                <w:sz w:val="13"/>
                <w:szCs w:val="13"/>
                <w:color w:val="auto"/>
              </w:rPr>
            </w:pPr>
          </w:p>
        </w:tc>
        <w:tc>
          <w:tcPr>
            <w:tcW w:w="100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91</w:t>
            </w:r>
          </w:p>
        </w:tc>
        <w:tc>
          <w:tcPr>
            <w:tcW w:w="260" w:type="dxa"/>
            <w:vAlign w:val="bottom"/>
            <w:vMerge w:val="continue"/>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542,301</w:t>
            </w:r>
          </w:p>
        </w:tc>
        <w:tc>
          <w:tcPr>
            <w:tcW w:w="0" w:type="dxa"/>
            <w:vAlign w:val="bottom"/>
          </w:tcPr>
          <w:p>
            <w:pPr>
              <w:spacing w:after="0"/>
              <w:rPr>
                <w:sz w:val="1"/>
                <w:szCs w:val="1"/>
                <w:color w:val="auto"/>
              </w:rPr>
            </w:pPr>
          </w:p>
        </w:tc>
      </w:tr>
      <w:tr>
        <w:trPr>
          <w:trHeight w:val="94"/>
        </w:trPr>
        <w:tc>
          <w:tcPr>
            <w:tcW w:w="960" w:type="dxa"/>
            <w:vAlign w:val="bottom"/>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(21,607,996)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13,507,602</w:t>
            </w: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(481,697)</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(271,800)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2,956,822</w:t>
            </w:r>
          </w:p>
        </w:tc>
        <w:tc>
          <w:tcPr>
            <w:tcW w:w="260" w:type="dxa"/>
            <w:vAlign w:val="bottom"/>
          </w:tcPr>
          <w:p>
            <w:pPr>
              <w:spacing w:after="0"/>
              <w:rPr>
                <w:sz w:val="13"/>
                <w:szCs w:val="13"/>
                <w:color w:val="auto"/>
              </w:rPr>
            </w:pPr>
          </w:p>
        </w:tc>
        <w:tc>
          <w:tcPr>
            <w:tcW w:w="980" w:type="dxa"/>
            <w:vAlign w:val="bottom"/>
            <w:gridSpan w:val="3"/>
          </w:tcPr>
          <w:p>
            <w:pPr>
              <w:jc w:val="right"/>
              <w:ind w:right="38"/>
              <w:spacing w:after="0"/>
              <w:rPr>
                <w:sz w:val="20"/>
                <w:szCs w:val="20"/>
                <w:color w:val="auto"/>
              </w:rPr>
            </w:pPr>
            <w:r>
              <w:rPr>
                <w:rFonts w:ascii="Times New Roman" w:cs="Times New Roman" w:eastAsia="Times New Roman" w:hAnsi="Times New Roman"/>
                <w:sz w:val="13"/>
                <w:szCs w:val="13"/>
                <w:color w:val="auto"/>
              </w:rPr>
              <w:t>36,016,881</w:t>
            </w:r>
          </w:p>
        </w:tc>
        <w:tc>
          <w:tcPr>
            <w:tcW w:w="220" w:type="dxa"/>
            <w:vAlign w:val="bottom"/>
          </w:tcPr>
          <w:p>
            <w:pPr>
              <w:spacing w:after="0"/>
              <w:rPr>
                <w:sz w:val="13"/>
                <w:szCs w:val="13"/>
                <w:color w:val="auto"/>
              </w:rPr>
            </w:pPr>
          </w:p>
        </w:tc>
        <w:tc>
          <w:tcPr>
            <w:tcW w:w="1000" w:type="dxa"/>
            <w:vAlign w:val="bottom"/>
            <w:gridSpan w:val="3"/>
          </w:tcPr>
          <w:p>
            <w:pPr>
              <w:jc w:val="right"/>
              <w:ind w:right="58"/>
              <w:spacing w:after="0"/>
              <w:rPr>
                <w:sz w:val="20"/>
                <w:szCs w:val="20"/>
                <w:color w:val="auto"/>
              </w:rPr>
            </w:pPr>
            <w:r>
              <w:rPr>
                <w:rFonts w:ascii="Times New Roman" w:cs="Times New Roman" w:eastAsia="Times New Roman" w:hAnsi="Times New Roman"/>
                <w:sz w:val="13"/>
                <w:szCs w:val="13"/>
                <w:color w:val="auto"/>
              </w:rPr>
              <w:t>999,714</w:t>
            </w:r>
          </w:p>
        </w:tc>
        <w:tc>
          <w:tcPr>
            <w:tcW w:w="260" w:type="dxa"/>
            <w:vAlign w:val="bottom"/>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33,619,526</w:t>
            </w:r>
          </w:p>
        </w:tc>
        <w:tc>
          <w:tcPr>
            <w:tcW w:w="0" w:type="dxa"/>
            <w:vAlign w:val="bottom"/>
          </w:tcPr>
          <w:p>
            <w:pPr>
              <w:spacing w:after="0"/>
              <w:rPr>
                <w:sz w:val="1"/>
                <w:szCs w:val="1"/>
                <w:color w:val="auto"/>
              </w:rPr>
            </w:pPr>
          </w:p>
        </w:tc>
      </w:tr>
      <w:tr>
        <w:trPr>
          <w:trHeight w:val="94"/>
        </w:trPr>
        <w:tc>
          <w:tcPr>
            <w:tcW w:w="960" w:type="dxa"/>
            <w:vAlign w:val="bottom"/>
            <w:tcBorders>
              <w:top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and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equity</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125,733,036</w:t>
            </w: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xml:space="preserve">32,950,244  </w:t>
            </w: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2,137,303</w:t>
            </w: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4,728,200</w:t>
            </w:r>
          </w:p>
        </w:tc>
        <w:tc>
          <w:tcPr>
            <w:tcW w:w="54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(9,793,910)</w:t>
            </w:r>
          </w:p>
        </w:tc>
        <w:tc>
          <w:tcPr>
            <w:tcW w:w="26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(85,260,478)</w:t>
            </w:r>
          </w:p>
        </w:tc>
        <w:tc>
          <w:tcPr>
            <w:tcW w:w="22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(4,723,022)</w:t>
            </w:r>
          </w:p>
        </w:tc>
        <w:tc>
          <w:tcPr>
            <w:tcW w:w="26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68,271,373</w:t>
            </w:r>
          </w:p>
        </w:tc>
        <w:tc>
          <w:tcPr>
            <w:tcW w:w="0" w:type="dxa"/>
            <w:vAlign w:val="bottom"/>
          </w:tcPr>
          <w:p>
            <w:pPr>
              <w:spacing w:after="0"/>
              <w:rPr>
                <w:sz w:val="1"/>
                <w:szCs w:val="1"/>
                <w:color w:val="auto"/>
              </w:rPr>
            </w:pPr>
          </w:p>
        </w:tc>
      </w:tr>
      <w:tr>
        <w:trPr>
          <w:trHeight w:val="141"/>
        </w:trPr>
        <w:tc>
          <w:tcPr>
            <w:tcW w:w="960" w:type="dxa"/>
            <w:vAlign w:val="bottom"/>
            <w:shd w:val="clear" w:color="auto" w:fill="CCEEFF"/>
          </w:tcPr>
          <w:p>
            <w:pPr>
              <w:ind w:left="160"/>
              <w:spacing w:after="0" w:line="141"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the unaudited condensed combined pro forma financial information.</w:t>
      </w: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In thousands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2"/>
              </w:rPr>
              <w:t>of KRW,</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4"/>
              </w:rPr>
              <w:t>In thousands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4"/>
              </w:rPr>
              <w:t>except for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5"/>
              </w:rPr>
              <w:t>In thousands of</w:t>
            </w:r>
          </w:p>
        </w:tc>
        <w:tc>
          <w:tcPr>
            <w:tcW w:w="200" w:type="dxa"/>
            <w:vAlign w:val="bottom"/>
          </w:tcPr>
          <w:p>
            <w:pPr>
              <w:spacing w:after="0"/>
              <w:rPr>
                <w:sz w:val="11"/>
                <w:szCs w:val="11"/>
                <w:color w:val="auto"/>
              </w:rPr>
            </w:pPr>
          </w:p>
        </w:tc>
        <w:tc>
          <w:tcPr>
            <w:tcW w:w="8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 thousands</w:t>
            </w:r>
          </w:p>
        </w:tc>
        <w:tc>
          <w:tcPr>
            <w:tcW w:w="180" w:type="dxa"/>
            <w:vAlign w:val="bottom"/>
          </w:tcPr>
          <w:p>
            <w:pPr>
              <w:spacing w:after="0"/>
              <w:rPr>
                <w:sz w:val="11"/>
                <w:szCs w:val="11"/>
                <w:color w:val="auto"/>
              </w:rPr>
            </w:pPr>
          </w:p>
        </w:tc>
        <w:tc>
          <w:tcPr>
            <w:tcW w:w="8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6"/>
              </w:rPr>
              <w:t>of KRW,</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5"/>
              </w:rPr>
              <w:t>per share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thousands</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4"/>
              </w:rPr>
              <w:t>KRW, except</w:t>
            </w:r>
          </w:p>
        </w:tc>
        <w:tc>
          <w:tcPr>
            <w:tcW w:w="200" w:type="dxa"/>
            <w:vAlign w:val="bottom"/>
          </w:tcPr>
          <w:p>
            <w:pPr>
              <w:spacing w:after="0"/>
              <w:rPr>
                <w:sz w:val="11"/>
                <w:szCs w:val="11"/>
                <w:color w:val="auto"/>
              </w:rPr>
            </w:pPr>
          </w:p>
        </w:tc>
        <w:tc>
          <w:tcPr>
            <w:tcW w:w="8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2"/>
              </w:rPr>
              <w:t>of KRW,</w:t>
            </w:r>
          </w:p>
        </w:tc>
        <w:tc>
          <w:tcPr>
            <w:tcW w:w="180" w:type="dxa"/>
            <w:vAlign w:val="bottom"/>
          </w:tcPr>
          <w:p>
            <w:pPr>
              <w:spacing w:after="0"/>
              <w:rPr>
                <w:sz w:val="11"/>
                <w:szCs w:val="11"/>
                <w:color w:val="auto"/>
              </w:rPr>
            </w:pPr>
          </w:p>
        </w:tc>
        <w:tc>
          <w:tcPr>
            <w:tcW w:w="8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4"/>
              </w:rPr>
              <w:t>except for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thousands</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data</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 thousands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8"/>
              </w:rPr>
              <w:t>of KRW</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6"/>
              </w:rPr>
              <w:t>for per share</w:t>
            </w:r>
          </w:p>
        </w:tc>
        <w:tc>
          <w:tcPr>
            <w:tcW w:w="200" w:type="dxa"/>
            <w:vAlign w:val="bottom"/>
          </w:tcPr>
          <w:p>
            <w:pPr>
              <w:spacing w:after="0"/>
              <w:rPr>
                <w:sz w:val="11"/>
                <w:szCs w:val="11"/>
                <w:color w:val="auto"/>
              </w:rPr>
            </w:pPr>
          </w:p>
        </w:tc>
        <w:tc>
          <w:tcPr>
            <w:tcW w:w="8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except for per</w:t>
            </w:r>
          </w:p>
        </w:tc>
        <w:tc>
          <w:tcPr>
            <w:tcW w:w="180" w:type="dxa"/>
            <w:vAlign w:val="bottom"/>
          </w:tcPr>
          <w:p>
            <w:pPr>
              <w:spacing w:after="0"/>
              <w:rPr>
                <w:sz w:val="11"/>
                <w:szCs w:val="11"/>
                <w:color w:val="auto"/>
              </w:rPr>
            </w:pPr>
          </w:p>
        </w:tc>
        <w:tc>
          <w:tcPr>
            <w:tcW w:w="8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9"/>
              </w:rPr>
              <w:t>per share</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8"/>
              </w:rPr>
              <w:t>of KRW</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4"/>
              </w:rPr>
              <w:t>of KRW</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Solaire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data</w:t>
            </w:r>
          </w:p>
        </w:tc>
        <w:tc>
          <w:tcPr>
            <w:tcW w:w="200" w:type="dxa"/>
            <w:vAlign w:val="bottom"/>
          </w:tcPr>
          <w:p>
            <w:pPr>
              <w:spacing w:after="0"/>
              <w:rPr>
                <w:sz w:val="11"/>
                <w:szCs w:val="11"/>
                <w:color w:val="auto"/>
              </w:rPr>
            </w:pPr>
          </w:p>
        </w:tc>
        <w:tc>
          <w:tcPr>
            <w:tcW w:w="8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6"/>
              </w:rPr>
              <w:t>share data</w:t>
            </w:r>
          </w:p>
        </w:tc>
        <w:tc>
          <w:tcPr>
            <w:tcW w:w="180" w:type="dxa"/>
            <w:vAlign w:val="bottom"/>
          </w:tcPr>
          <w:p>
            <w:pPr>
              <w:spacing w:after="0"/>
              <w:rPr>
                <w:sz w:val="11"/>
                <w:szCs w:val="11"/>
                <w:color w:val="auto"/>
              </w:rPr>
            </w:pPr>
          </w:p>
        </w:tc>
        <w:tc>
          <w:tcPr>
            <w:tcW w:w="8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data</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3"/>
              </w:rPr>
              <w:t>Bank Loan</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4"/>
              </w:rPr>
              <w:t>Play Co. Ltd.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4"/>
              </w:rPr>
              <w:t>Partners</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 thousands</w:t>
            </w: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2"/>
              </w:rPr>
              <w:t>K Wave</w:t>
            </w:r>
          </w:p>
        </w:tc>
        <w:tc>
          <w:tcPr>
            <w:tcW w:w="200" w:type="dxa"/>
            <w:vAlign w:val="bottom"/>
          </w:tcPr>
          <w:p>
            <w:pPr>
              <w:spacing w:after="0"/>
              <w:rPr>
                <w:sz w:val="11"/>
                <w:szCs w:val="11"/>
                <w:color w:val="auto"/>
              </w:rPr>
            </w:pPr>
          </w:p>
        </w:tc>
        <w:tc>
          <w:tcPr>
            <w:tcW w:w="8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7"/>
              </w:rPr>
              <w:t>Hansol</w:t>
            </w:r>
          </w:p>
        </w:tc>
        <w:tc>
          <w:tcPr>
            <w:tcW w:w="180" w:type="dxa"/>
            <w:vAlign w:val="bottom"/>
          </w:tcPr>
          <w:p>
            <w:pPr>
              <w:spacing w:after="0"/>
              <w:rPr>
                <w:sz w:val="11"/>
                <w:szCs w:val="11"/>
                <w:color w:val="auto"/>
              </w:rPr>
            </w:pPr>
          </w:p>
        </w:tc>
        <w:tc>
          <w:tcPr>
            <w:tcW w:w="8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6"/>
              </w:rPr>
              <w:t>Recission</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6"/>
              </w:rPr>
              <w:t>Recission</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4"/>
              </w:rPr>
              <w:t>of KRW</w:t>
            </w: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0" w:type="dxa"/>
            <w:vAlign w:val="bottom"/>
          </w:tcPr>
          <w:p>
            <w:pPr>
              <w:spacing w:after="0"/>
              <w:rPr>
                <w:sz w:val="11"/>
                <w:szCs w:val="11"/>
                <w:color w:val="auto"/>
              </w:rPr>
            </w:pPr>
          </w:p>
        </w:tc>
        <w:tc>
          <w:tcPr>
            <w:tcW w:w="8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80" w:type="dxa"/>
            <w:vAlign w:val="bottom"/>
          </w:tcPr>
          <w:p>
            <w:pPr>
              <w:spacing w:after="0"/>
              <w:rPr>
                <w:sz w:val="11"/>
                <w:szCs w:val="11"/>
                <w:color w:val="auto"/>
              </w:rPr>
            </w:pPr>
          </w:p>
        </w:tc>
        <w:tc>
          <w:tcPr>
            <w:tcW w:w="8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3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200" w:type="dxa"/>
            <w:vAlign w:val="bottom"/>
          </w:tcPr>
          <w:p>
            <w:pPr>
              <w:spacing w:after="0"/>
              <w:rPr>
                <w:sz w:val="11"/>
                <w:szCs w:val="11"/>
                <w:color w:val="auto"/>
              </w:rPr>
            </w:pPr>
          </w:p>
        </w:tc>
        <w:tc>
          <w:tcPr>
            <w:tcW w:w="7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4"/>
              </w:rPr>
              <w:t>Adjustment</w:t>
            </w:r>
          </w:p>
        </w:tc>
        <w:tc>
          <w:tcPr>
            <w:tcW w:w="2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220" w:type="dxa"/>
            <w:vAlign w:val="bottom"/>
          </w:tcPr>
          <w:p>
            <w:pPr>
              <w:spacing w:after="0"/>
              <w:rPr>
                <w:sz w:val="11"/>
                <w:szCs w:val="11"/>
                <w:color w:val="auto"/>
              </w:rPr>
            </w:pPr>
          </w:p>
        </w:tc>
        <w:tc>
          <w:tcPr>
            <w:tcW w:w="8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2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240" w:type="dxa"/>
            <w:vAlign w:val="bottom"/>
          </w:tcPr>
          <w:p>
            <w:pPr>
              <w:spacing w:after="0"/>
              <w:rPr>
                <w:sz w:val="11"/>
                <w:szCs w:val="11"/>
                <w:color w:val="auto"/>
              </w:rPr>
            </w:pPr>
          </w:p>
        </w:tc>
        <w:tc>
          <w:tcPr>
            <w:tcW w:w="90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240" w:type="dxa"/>
            <w:vAlign w:val="bottom"/>
          </w:tcPr>
          <w:p>
            <w:pPr>
              <w:spacing w:after="0"/>
              <w:rPr>
                <w:sz w:val="11"/>
                <w:szCs w:val="11"/>
                <w:color w:val="auto"/>
              </w:rPr>
            </w:pP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520" w:type="dxa"/>
            <w:vAlign w:val="bottom"/>
            <w:gridSpan w:val="2"/>
          </w:tcPr>
          <w:p>
            <w:pPr>
              <w:jc w:val="center"/>
              <w:ind w:right="157"/>
              <w:spacing w:after="0" w:line="134" w:lineRule="exact"/>
              <w:rPr>
                <w:sz w:val="20"/>
                <w:szCs w:val="20"/>
                <w:color w:val="auto"/>
              </w:rPr>
            </w:pPr>
            <w:r>
              <w:rPr>
                <w:rFonts w:ascii="Times New Roman" w:cs="Times New Roman" w:eastAsia="Times New Roman" w:hAnsi="Times New Roman"/>
                <w:sz w:val="13"/>
                <w:szCs w:val="13"/>
                <w:b w:val="1"/>
                <w:bCs w:val="1"/>
                <w:color w:val="auto"/>
                <w:w w:val="99"/>
              </w:rPr>
              <w:t>Note</w:t>
            </w:r>
          </w:p>
        </w:tc>
        <w:tc>
          <w:tcPr>
            <w:tcW w:w="84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0" w:type="dxa"/>
            <w:vAlign w:val="bottom"/>
          </w:tcPr>
          <w:p>
            <w:pPr>
              <w:spacing w:after="0"/>
              <w:rPr>
                <w:sz w:val="1"/>
                <w:szCs w:val="1"/>
                <w:color w:val="auto"/>
              </w:rPr>
            </w:pPr>
          </w:p>
        </w:tc>
      </w:tr>
      <w:tr>
        <w:trPr>
          <w:trHeight w:val="154"/>
        </w:trPr>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(Note 6)</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2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(Note 6)</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22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(Note 6)</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24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Adjustment</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24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Adjustment</w:t>
            </w:r>
          </w:p>
        </w:tc>
        <w:tc>
          <w:tcPr>
            <w:tcW w:w="520" w:type="dxa"/>
            <w:vAlign w:val="bottom"/>
            <w:gridSpan w:val="2"/>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28"/>
        </w:trPr>
        <w:tc>
          <w:tcPr>
            <w:tcW w:w="1240" w:type="dxa"/>
            <w:vAlign w:val="bottom"/>
            <w:tcBorders>
              <w:top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w w:val="99"/>
              </w:rPr>
              <w:t>Content Merchandising</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w w:val="97"/>
              </w:rPr>
              <w:t>₩</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restart"/>
          </w:tcPr>
          <w:p>
            <w:pPr>
              <w:ind w:left="40"/>
              <w:spacing w:after="0"/>
              <w:rPr>
                <w:sz w:val="20"/>
                <w:szCs w:val="20"/>
                <w:color w:val="auto"/>
              </w:rPr>
            </w:pPr>
            <w:r>
              <w:rPr>
                <w:rFonts w:ascii="Arial" w:cs="Arial" w:eastAsia="Arial" w:hAnsi="Arial"/>
                <w:sz w:val="13"/>
                <w:szCs w:val="13"/>
                <w:color w:val="auto"/>
                <w:w w:val="97"/>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200" w:type="dxa"/>
            <w:vAlign w:val="bottom"/>
            <w:vMerge w:val="restart"/>
          </w:tcPr>
          <w:p>
            <w:pPr>
              <w:ind w:left="60"/>
              <w:spacing w:after="0"/>
              <w:rPr>
                <w:sz w:val="20"/>
                <w:szCs w:val="20"/>
                <w:color w:val="auto"/>
              </w:rPr>
            </w:pPr>
            <w:r>
              <w:rPr>
                <w:rFonts w:ascii="Arial" w:cs="Arial" w:eastAsia="Arial" w:hAnsi="Arial"/>
                <w:sz w:val="13"/>
                <w:szCs w:val="13"/>
                <w:color w:val="auto"/>
                <w:w w:val="97"/>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w w:val="97"/>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vMerge w:val="continue"/>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44,415,967</w:t>
            </w:r>
          </w:p>
        </w:tc>
        <w:tc>
          <w:tcPr>
            <w:tcW w:w="200" w:type="dxa"/>
            <w:vAlign w:val="bottom"/>
            <w:vMerge w:val="continue"/>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(44,415,967)</w:t>
            </w:r>
          </w:p>
        </w:tc>
        <w:tc>
          <w:tcPr>
            <w:tcW w:w="3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F&amp;B Revenue</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12,228,818</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(12,228,818)</w:t>
            </w:r>
          </w:p>
        </w:tc>
        <w:tc>
          <w:tcPr>
            <w:tcW w:w="30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12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Content production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20,690,997</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20,690,997</w:t>
            </w:r>
          </w:p>
        </w:tc>
        <w:tc>
          <w:tcPr>
            <w:tcW w:w="0" w:type="dxa"/>
            <w:vAlign w:val="bottom"/>
          </w:tcPr>
          <w:p>
            <w:pPr>
              <w:spacing w:after="0"/>
              <w:rPr>
                <w:sz w:val="1"/>
                <w:szCs w:val="1"/>
                <w:color w:val="auto"/>
              </w:rPr>
            </w:pPr>
          </w:p>
        </w:tc>
      </w:tr>
      <w:tr>
        <w:trPr>
          <w:trHeight w:val="116"/>
        </w:trPr>
        <w:tc>
          <w:tcPr>
            <w:tcW w:w="12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Content investment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86"/>
              </w:rPr>
              <w:t>6I</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745,138</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(745,138)</w:t>
            </w:r>
          </w:p>
        </w:tc>
        <w:tc>
          <w:tcPr>
            <w:tcW w:w="520" w:type="dxa"/>
            <w:vAlign w:val="bottom"/>
            <w:gridSpan w:val="2"/>
            <w:vMerge w:val="continue"/>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12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w w:val="97"/>
              </w:rPr>
              <w:t>AI-based digital contact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center revenue</w:t>
            </w:r>
          </w:p>
        </w:tc>
        <w:tc>
          <w:tcPr>
            <w:tcW w:w="1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60,250,812</w:t>
            </w: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(60,250,812)</w:t>
            </w:r>
          </w:p>
        </w:tc>
        <w:tc>
          <w:tcPr>
            <w:tcW w:w="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Pet healthcare revenue</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4,567,430</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(4,567,430)</w:t>
            </w:r>
          </w:p>
        </w:tc>
        <w:tc>
          <w:tcPr>
            <w:tcW w:w="30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12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Total revenues</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78,080,920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64,818,242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w w:val="97"/>
              </w:rPr>
              <w:t>(121,463,027)</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(745,138)</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20,690,997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(71,203,348)</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(49,281,096)</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color w:val="auto"/>
              </w:rPr>
              <w:t>99,751,970</w:t>
            </w: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color w:val="auto"/>
              </w:rPr>
              <w:t>29,191</w:t>
            </w:r>
          </w:p>
        </w:tc>
        <w:tc>
          <w:tcPr>
            <w:tcW w:w="520" w:type="dxa"/>
            <w:vAlign w:val="bottom"/>
            <w:gridSpan w:val="2"/>
            <w:shd w:val="clear" w:color="auto" w:fill="CCEEFF"/>
          </w:tcPr>
          <w:p>
            <w:pPr>
              <w:jc w:val="center"/>
              <w:ind w:right="157"/>
              <w:spacing w:after="0" w:line="134" w:lineRule="exact"/>
              <w:rPr>
                <w:sz w:val="20"/>
                <w:szCs w:val="20"/>
                <w:color w:val="auto"/>
              </w:rPr>
            </w:pPr>
            <w:r>
              <w:rPr>
                <w:rFonts w:ascii="Times New Roman" w:cs="Times New Roman" w:eastAsia="Times New Roman" w:hAnsi="Times New Roman"/>
                <w:sz w:val="13"/>
                <w:szCs w:val="13"/>
                <w:b w:val="1"/>
                <w:bCs w:val="1"/>
                <w:color w:val="auto"/>
                <w:w w:val="86"/>
              </w:rPr>
              <w:t>6I</w:t>
            </w:r>
          </w:p>
        </w:tc>
        <w:tc>
          <w:tcPr>
            <w:tcW w:w="8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(20,703,283)</w:t>
            </w:r>
          </w:p>
        </w:tc>
        <w:tc>
          <w:tcPr>
            <w:tcW w:w="0" w:type="dxa"/>
            <w:vAlign w:val="bottom"/>
          </w:tcPr>
          <w:p>
            <w:pPr>
              <w:spacing w:after="0"/>
              <w:rPr>
                <w:sz w:val="1"/>
                <w:szCs w:val="1"/>
                <w:color w:val="auto"/>
              </w:rPr>
            </w:pPr>
          </w:p>
        </w:tc>
      </w:tr>
      <w:tr>
        <w:trPr>
          <w:trHeight w:val="128"/>
        </w:trPr>
        <w:tc>
          <w:tcPr>
            <w:tcW w:w="124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6,877,572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15,537,146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(21,711,057)</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(715,947)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(12,286)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40" w:type="dxa"/>
            <w:vAlign w:val="bottom"/>
            <w:shd w:val="clear" w:color="auto" w:fill="CCEEFF"/>
          </w:tcPr>
          <w:p>
            <w:pPr>
              <w:ind w:left="320"/>
              <w:spacing w:after="0" w:line="116" w:lineRule="exact"/>
              <w:rPr>
                <w:sz w:val="20"/>
                <w:szCs w:val="20"/>
                <w:color w:val="auto"/>
              </w:rPr>
            </w:pPr>
            <w:r>
              <w:rPr>
                <w:rFonts w:ascii="Times New Roman" w:cs="Times New Roman" w:eastAsia="Times New Roman" w:hAnsi="Times New Roman"/>
                <w:sz w:val="13"/>
                <w:szCs w:val="13"/>
                <w:color w:val="auto"/>
              </w:rPr>
              <w:t>Selling, general</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ind w:left="500"/>
              <w:spacing w:after="0" w:line="134" w:lineRule="exact"/>
              <w:rPr>
                <w:sz w:val="20"/>
                <w:szCs w:val="20"/>
                <w:color w:val="auto"/>
              </w:rPr>
            </w:pPr>
            <w:r>
              <w:rPr>
                <w:rFonts w:ascii="Times New Roman" w:cs="Times New Roman" w:eastAsia="Times New Roman" w:hAnsi="Times New Roman"/>
                <w:sz w:val="13"/>
                <w:szCs w:val="13"/>
                <w:color w:val="auto"/>
              </w:rPr>
              <w:t>and</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6A</w:t>
            </w:r>
          </w:p>
        </w:tc>
        <w:tc>
          <w:tcPr>
            <w:tcW w:w="2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86"/>
              </w:rPr>
              <w:t>6I</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6"/>
              </w:rPr>
              <w:t>administrative</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(69,208,430)</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(14,490,164)</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(45,000)</w:t>
            </w:r>
          </w:p>
        </w:tc>
        <w:tc>
          <w:tcPr>
            <w:tcW w:w="3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18,718,039</w:t>
            </w:r>
          </w:p>
        </w:tc>
        <w:tc>
          <w:tcPr>
            <w:tcW w:w="3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1,315,886</w:t>
            </w:r>
          </w:p>
        </w:tc>
        <w:tc>
          <w:tcPr>
            <w:tcW w:w="16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(63,709,669)</w:t>
            </w:r>
          </w:p>
        </w:tc>
        <w:tc>
          <w:tcPr>
            <w:tcW w:w="0" w:type="dxa"/>
            <w:vAlign w:val="bottom"/>
          </w:tcPr>
          <w:p>
            <w:pPr>
              <w:spacing w:after="0"/>
              <w:rPr>
                <w:sz w:val="1"/>
                <w:szCs w:val="1"/>
                <w:color w:val="auto"/>
              </w:rPr>
            </w:pPr>
          </w:p>
        </w:tc>
      </w:tr>
      <w:tr>
        <w:trPr>
          <w:trHeight w:val="134"/>
        </w:trPr>
        <w:tc>
          <w:tcPr>
            <w:tcW w:w="1240" w:type="dxa"/>
            <w:vAlign w:val="bottom"/>
          </w:tcPr>
          <w:p>
            <w:pPr>
              <w:ind w:left="320"/>
              <w:spacing w:after="0" w:line="134" w:lineRule="exact"/>
              <w:rPr>
                <w:sz w:val="20"/>
                <w:szCs w:val="20"/>
                <w:color w:val="auto"/>
              </w:rPr>
            </w:pPr>
            <w:r>
              <w:rPr>
                <w:rFonts w:ascii="Times New Roman" w:cs="Times New Roman" w:eastAsia="Times New Roman" w:hAnsi="Times New Roman"/>
                <w:sz w:val="13"/>
                <w:szCs w:val="13"/>
                <w:color w:val="auto"/>
              </w:rPr>
              <w:t>Other income</w:t>
            </w:r>
          </w:p>
        </w:tc>
        <w:tc>
          <w:tcPr>
            <w:tcW w:w="16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1,299,367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164,110</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3"/>
                <w:szCs w:val="13"/>
                <w:color w:val="auto"/>
              </w:rPr>
              <w:t>47,770,241</w:t>
            </w:r>
          </w:p>
        </w:tc>
        <w:tc>
          <w:tcPr>
            <w:tcW w:w="3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2,680,134</w:t>
            </w:r>
          </w:p>
        </w:tc>
        <w:tc>
          <w:tcPr>
            <w:tcW w:w="160" w:type="dxa"/>
            <w:vAlign w:val="bottom"/>
          </w:tcPr>
          <w:p>
            <w:pPr>
              <w:spacing w:after="0"/>
              <w:rPr>
                <w:sz w:val="11"/>
                <w:szCs w:val="11"/>
                <w:color w:val="auto"/>
              </w:rPr>
            </w:pPr>
          </w:p>
        </w:tc>
        <w:tc>
          <w:tcPr>
            <w:tcW w:w="520" w:type="dxa"/>
            <w:vAlign w:val="bottom"/>
            <w:gridSpan w:val="2"/>
          </w:tcPr>
          <w:p>
            <w:pPr>
              <w:jc w:val="center"/>
              <w:ind w:right="157"/>
              <w:spacing w:after="0" w:line="134" w:lineRule="exact"/>
              <w:rPr>
                <w:sz w:val="20"/>
                <w:szCs w:val="20"/>
                <w:color w:val="auto"/>
              </w:rPr>
            </w:pPr>
            <w:r>
              <w:rPr>
                <w:rFonts w:ascii="Times New Roman" w:cs="Times New Roman" w:eastAsia="Times New Roman" w:hAnsi="Times New Roman"/>
                <w:sz w:val="13"/>
                <w:szCs w:val="13"/>
                <w:b w:val="1"/>
                <w:bCs w:val="1"/>
                <w:color w:val="auto"/>
                <w:w w:val="86"/>
              </w:rPr>
              <w:t>6I</w:t>
            </w:r>
          </w:p>
        </w:tc>
        <w:tc>
          <w:tcPr>
            <w:tcW w:w="84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51,913,852</w:t>
            </w: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ind w:left="320"/>
              <w:spacing w:after="0" w:line="134" w:lineRule="exact"/>
              <w:rPr>
                <w:sz w:val="20"/>
                <w:szCs w:val="20"/>
                <w:color w:val="auto"/>
              </w:rPr>
            </w:pPr>
            <w:r>
              <w:rPr>
                <w:rFonts w:ascii="Times New Roman" w:cs="Times New Roman" w:eastAsia="Times New Roman" w:hAnsi="Times New Roman"/>
                <w:sz w:val="13"/>
                <w:szCs w:val="13"/>
                <w:color w:val="auto"/>
              </w:rPr>
              <w:t>Other expense</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(133,696,369)</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(112,552)</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(1,501,228)</w:t>
            </w:r>
          </w:p>
        </w:tc>
        <w:tc>
          <w:tcPr>
            <w:tcW w:w="30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1"/>
              </w:rPr>
              <w:t>6B</w:t>
            </w: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color w:val="auto"/>
              </w:rPr>
              <w:t>2,726,212</w:t>
            </w:r>
          </w:p>
        </w:tc>
        <w:tc>
          <w:tcPr>
            <w:tcW w:w="30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(132,583,937)</w:t>
            </w:r>
          </w:p>
        </w:tc>
        <w:tc>
          <w:tcPr>
            <w:tcW w:w="0" w:type="dxa"/>
            <w:vAlign w:val="bottom"/>
          </w:tcPr>
          <w:p>
            <w:pPr>
              <w:spacing w:after="0"/>
              <w:rPr>
                <w:sz w:val="1"/>
                <w:szCs w:val="1"/>
                <w:color w:val="auto"/>
              </w:rPr>
            </w:pPr>
          </w:p>
        </w:tc>
      </w:tr>
      <w:tr>
        <w:trPr>
          <w:trHeight w:val="94"/>
        </w:trPr>
        <w:tc>
          <w:tcPr>
            <w:tcW w:w="1240" w:type="dxa"/>
            <w:vAlign w:val="bottom"/>
          </w:tcPr>
          <w:p>
            <w:pPr>
              <w:ind w:left="160"/>
              <w:spacing w:after="0" w:line="94"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1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24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(194,727,860)</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1,098,540</w:t>
            </w:r>
          </w:p>
        </w:tc>
        <w:tc>
          <w:tcPr>
            <w:tcW w:w="1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(1,546,228)</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47,503,435</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3,280,073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(144,392,040)</w:t>
            </w:r>
          </w:p>
        </w:tc>
        <w:tc>
          <w:tcPr>
            <w:tcW w:w="0" w:type="dxa"/>
            <w:vAlign w:val="bottom"/>
          </w:tcPr>
          <w:p>
            <w:pPr>
              <w:spacing w:after="0"/>
              <w:rPr>
                <w:sz w:val="1"/>
                <w:szCs w:val="1"/>
                <w:color w:val="auto"/>
              </w:rPr>
            </w:pPr>
          </w:p>
        </w:tc>
      </w:tr>
      <w:tr>
        <w:trPr>
          <w:trHeight w:val="116"/>
        </w:trPr>
        <w:tc>
          <w:tcPr>
            <w:tcW w:w="1240" w:type="dxa"/>
            <w:vAlign w:val="bottom"/>
            <w:shd w:val="clear" w:color="auto" w:fill="CCEEFF"/>
          </w:tcPr>
          <w:p>
            <w:pPr>
              <w:ind w:left="160"/>
              <w:spacing w:after="0" w:line="116" w:lineRule="exact"/>
              <w:rPr>
                <w:sz w:val="20"/>
                <w:szCs w:val="20"/>
                <w:color w:val="auto"/>
              </w:rPr>
            </w:pPr>
            <w:r>
              <w:rPr>
                <w:rFonts w:ascii="Times New Roman" w:cs="Times New Roman" w:eastAsia="Times New Roman" w:hAnsi="Times New Roman"/>
                <w:sz w:val="13"/>
                <w:szCs w:val="13"/>
                <w:color w:val="auto"/>
              </w:rPr>
              <w:t>Loss on disposal of</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6F</w:t>
            </w: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Bitcoin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(1,174,040)</w:t>
            </w:r>
          </w:p>
        </w:tc>
        <w:tc>
          <w:tcPr>
            <w:tcW w:w="2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(1,174,040)</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(2,348,080)</w:t>
            </w:r>
          </w:p>
        </w:tc>
        <w:tc>
          <w:tcPr>
            <w:tcW w:w="0" w:type="dxa"/>
            <w:vAlign w:val="bottom"/>
          </w:tcPr>
          <w:p>
            <w:pPr>
              <w:spacing w:after="0"/>
              <w:rPr>
                <w:sz w:val="1"/>
                <w:szCs w:val="1"/>
                <w:color w:val="auto"/>
              </w:rPr>
            </w:pPr>
          </w:p>
        </w:tc>
      </w:tr>
      <w:tr>
        <w:trPr>
          <w:trHeight w:val="134"/>
        </w:trPr>
        <w:tc>
          <w:tcPr>
            <w:tcW w:w="124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auto"/>
              </w:rPr>
              <w:t>Finance income</w:t>
            </w:r>
          </w:p>
        </w:tc>
        <w:tc>
          <w:tcPr>
            <w:tcW w:w="160" w:type="dxa"/>
            <w:vAlign w:val="bottom"/>
          </w:tcPr>
          <w:p>
            <w:pPr>
              <w:spacing w:after="0"/>
              <w:rPr>
                <w:sz w:val="11"/>
                <w:szCs w:val="11"/>
                <w:color w:val="auto"/>
              </w:rPr>
            </w:pPr>
          </w:p>
        </w:tc>
        <w:tc>
          <w:tcPr>
            <w:tcW w:w="94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24,647,541</w:t>
            </w:r>
          </w:p>
        </w:tc>
        <w:tc>
          <w:tcPr>
            <w:tcW w:w="200" w:type="dxa"/>
            <w:vAlign w:val="bottom"/>
          </w:tcPr>
          <w:p>
            <w:pPr>
              <w:spacing w:after="0"/>
              <w:rPr>
                <w:sz w:val="11"/>
                <w:szCs w:val="11"/>
                <w:color w:val="auto"/>
              </w:rPr>
            </w:pPr>
          </w:p>
        </w:tc>
        <w:tc>
          <w:tcPr>
            <w:tcW w:w="88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132,850</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(1,087,091)</w:t>
            </w:r>
          </w:p>
        </w:tc>
        <w:tc>
          <w:tcPr>
            <w:tcW w:w="3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tcPr>
          <w:p>
            <w:pPr>
              <w:spacing w:after="0"/>
              <w:rPr>
                <w:sz w:val="11"/>
                <w:szCs w:val="11"/>
                <w:color w:val="auto"/>
              </w:rPr>
            </w:pPr>
          </w:p>
        </w:tc>
        <w:tc>
          <w:tcPr>
            <w:tcW w:w="82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(10,167)</w:t>
            </w:r>
          </w:p>
        </w:tc>
        <w:tc>
          <w:tcPr>
            <w:tcW w:w="520" w:type="dxa"/>
            <w:vAlign w:val="bottom"/>
            <w:gridSpan w:val="2"/>
          </w:tcPr>
          <w:p>
            <w:pPr>
              <w:jc w:val="center"/>
              <w:ind w:right="157"/>
              <w:spacing w:after="0" w:line="134" w:lineRule="exact"/>
              <w:rPr>
                <w:sz w:val="20"/>
                <w:szCs w:val="20"/>
                <w:color w:val="auto"/>
              </w:rPr>
            </w:pPr>
            <w:r>
              <w:rPr>
                <w:rFonts w:ascii="Times New Roman" w:cs="Times New Roman" w:eastAsia="Times New Roman" w:hAnsi="Times New Roman"/>
                <w:sz w:val="13"/>
                <w:szCs w:val="13"/>
                <w:b w:val="1"/>
                <w:bCs w:val="1"/>
                <w:color w:val="auto"/>
                <w:w w:val="86"/>
              </w:rPr>
              <w:t>6I</w:t>
            </w:r>
          </w:p>
        </w:tc>
        <w:tc>
          <w:tcPr>
            <w:tcW w:w="84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23,683,133</w:t>
            </w: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ind w:left="160"/>
              <w:spacing w:after="0" w:line="134" w:lineRule="exact"/>
              <w:rPr>
                <w:sz w:val="20"/>
                <w:szCs w:val="20"/>
                <w:color w:val="auto"/>
              </w:rPr>
            </w:pPr>
            <w:r>
              <w:rPr>
                <w:rFonts w:ascii="Times New Roman" w:cs="Times New Roman" w:eastAsia="Times New Roman" w:hAnsi="Times New Roman"/>
                <w:sz w:val="13"/>
                <w:szCs w:val="13"/>
                <w:color w:val="auto"/>
              </w:rPr>
              <w:t>Finance costs</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(37,594,482)</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(187,577)</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4" w:lineRule="exact"/>
              <w:rPr>
                <w:sz w:val="20"/>
                <w:szCs w:val="20"/>
                <w:color w:val="auto"/>
              </w:rPr>
            </w:pPr>
            <w:r>
              <w:rPr>
                <w:rFonts w:ascii="Times New Roman" w:cs="Times New Roman" w:eastAsia="Times New Roman" w:hAnsi="Times New Roman"/>
                <w:sz w:val="13"/>
                <w:szCs w:val="13"/>
                <w:color w:val="auto"/>
              </w:rPr>
              <w:t>(271,800)</w:t>
            </w:r>
          </w:p>
        </w:tc>
        <w:tc>
          <w:tcPr>
            <w:tcW w:w="28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1"/>
              </w:rPr>
              <w:t>6E</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color w:val="auto"/>
              </w:rPr>
              <w:t>496,580</w:t>
            </w:r>
          </w:p>
        </w:tc>
        <w:tc>
          <w:tcPr>
            <w:tcW w:w="28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6G</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3"/>
                <w:szCs w:val="13"/>
                <w:color w:val="auto"/>
              </w:rPr>
              <w:t>1,198,807</w:t>
            </w:r>
          </w:p>
        </w:tc>
        <w:tc>
          <w:tcPr>
            <w:tcW w:w="30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2,456,338</w:t>
            </w:r>
          </w:p>
        </w:tc>
        <w:tc>
          <w:tcPr>
            <w:tcW w:w="1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center"/>
              <w:ind w:right="157"/>
              <w:spacing w:after="0" w:line="134" w:lineRule="exact"/>
              <w:rPr>
                <w:sz w:val="20"/>
                <w:szCs w:val="20"/>
                <w:color w:val="auto"/>
              </w:rPr>
            </w:pPr>
            <w:r>
              <w:rPr>
                <w:rFonts w:ascii="Times New Roman" w:cs="Times New Roman" w:eastAsia="Times New Roman" w:hAnsi="Times New Roman"/>
                <w:sz w:val="13"/>
                <w:szCs w:val="13"/>
                <w:b w:val="1"/>
                <w:bCs w:val="1"/>
                <w:color w:val="auto"/>
                <w:w w:val="86"/>
              </w:rPr>
              <w:t>6I</w:t>
            </w:r>
          </w:p>
        </w:tc>
        <w:tc>
          <w:tcPr>
            <w:tcW w:w="8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(33,902,134)</w:t>
            </w:r>
          </w:p>
        </w:tc>
        <w:tc>
          <w:tcPr>
            <w:tcW w:w="0" w:type="dxa"/>
            <w:vAlign w:val="bottom"/>
          </w:tcPr>
          <w:p>
            <w:pPr>
              <w:spacing w:after="0"/>
              <w:rPr>
                <w:sz w:val="1"/>
                <w:szCs w:val="1"/>
                <w:color w:val="auto"/>
              </w:rPr>
            </w:pPr>
          </w:p>
        </w:tc>
      </w:tr>
      <w:tr>
        <w:trPr>
          <w:trHeight w:val="96"/>
        </w:trPr>
        <w:tc>
          <w:tcPr>
            <w:tcW w:w="1240" w:type="dxa"/>
            <w:vAlign w:val="bottom"/>
          </w:tcPr>
          <w:p>
            <w:pPr>
              <w:ind w:left="160"/>
              <w:spacing w:after="0" w:line="96" w:lineRule="exact"/>
              <w:rPr>
                <w:sz w:val="20"/>
                <w:szCs w:val="20"/>
                <w:color w:val="auto"/>
              </w:rPr>
            </w:pPr>
            <w:r>
              <w:rPr>
                <w:rFonts w:ascii="Times New Roman" w:cs="Times New Roman" w:eastAsia="Times New Roman" w:hAnsi="Times New Roman"/>
                <w:sz w:val="11"/>
                <w:szCs w:val="11"/>
                <w:color w:val="auto"/>
              </w:rPr>
              <w:t>Income (loss) before</w:t>
            </w:r>
          </w:p>
        </w:tc>
        <w:tc>
          <w:tcPr>
            <w:tcW w:w="1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income tax</w:t>
            </w:r>
          </w:p>
        </w:tc>
        <w:tc>
          <w:tcPr>
            <w:tcW w:w="1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(207,674,801)</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1,043,813</w:t>
            </w:r>
          </w:p>
        </w:tc>
        <w:tc>
          <w:tcPr>
            <w:tcW w:w="1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(1,546,228)</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(271,800)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(677,460)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46,441,111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5,726,244</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(156,959,121)</w:t>
            </w:r>
          </w:p>
        </w:tc>
        <w:tc>
          <w:tcPr>
            <w:tcW w:w="0" w:type="dxa"/>
            <w:vAlign w:val="bottom"/>
          </w:tcPr>
          <w:p>
            <w:pPr>
              <w:spacing w:after="0"/>
              <w:rPr>
                <w:sz w:val="1"/>
                <w:szCs w:val="1"/>
                <w:color w:val="auto"/>
              </w:rPr>
            </w:pPr>
          </w:p>
        </w:tc>
      </w:tr>
      <w:tr>
        <w:trPr>
          <w:trHeight w:val="116"/>
        </w:trPr>
        <w:tc>
          <w:tcPr>
            <w:tcW w:w="1240" w:type="dxa"/>
            <w:vAlign w:val="bottom"/>
            <w:shd w:val="clear" w:color="auto" w:fill="CCEEFF"/>
          </w:tcPr>
          <w:p>
            <w:pPr>
              <w:ind w:left="160"/>
              <w:spacing w:after="0" w:line="116" w:lineRule="exact"/>
              <w:rPr>
                <w:sz w:val="20"/>
                <w:szCs w:val="20"/>
                <w:color w:val="auto"/>
              </w:rPr>
            </w:pPr>
            <w:r>
              <w:rPr>
                <w:rFonts w:ascii="Times New Roman" w:cs="Times New Roman" w:eastAsia="Times New Roman" w:hAnsi="Times New Roman"/>
                <w:sz w:val="13"/>
                <w:szCs w:val="13"/>
                <w:color w:val="auto"/>
              </w:rPr>
              <w:t>Tax benefit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6D</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86"/>
              </w:rPr>
              <w:t>6I</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(expense)</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(435,086)</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(148,134)</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330,270</w:t>
            </w:r>
          </w:p>
        </w:tc>
        <w:tc>
          <w:tcPr>
            <w:tcW w:w="3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59,796</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339,801</w:t>
            </w:r>
          </w:p>
        </w:tc>
        <w:tc>
          <w:tcPr>
            <w:tcW w:w="3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(34,044)</w:t>
            </w:r>
          </w:p>
        </w:tc>
        <w:tc>
          <w:tcPr>
            <w:tcW w:w="520" w:type="dxa"/>
            <w:vAlign w:val="bottom"/>
            <w:gridSpan w:val="2"/>
            <w:vMerge w:val="continue"/>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112,603</w:t>
            </w:r>
          </w:p>
        </w:tc>
        <w:tc>
          <w:tcPr>
            <w:tcW w:w="0" w:type="dxa"/>
            <w:vAlign w:val="bottom"/>
          </w:tcPr>
          <w:p>
            <w:pPr>
              <w:spacing w:after="0"/>
              <w:rPr>
                <w:sz w:val="1"/>
                <w:szCs w:val="1"/>
                <w:color w:val="auto"/>
              </w:rPr>
            </w:pPr>
          </w:p>
        </w:tc>
      </w:tr>
      <w:tr>
        <w:trPr>
          <w:trHeight w:val="128"/>
        </w:trPr>
        <w:tc>
          <w:tcPr>
            <w:tcW w:w="124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160" w:type="dxa"/>
            <w:vAlign w:val="bottom"/>
          </w:tcPr>
          <w:p>
            <w:pPr>
              <w:ind w:left="20"/>
              <w:spacing w:after="0" w:line="128" w:lineRule="exact"/>
              <w:rPr>
                <w:sz w:val="20"/>
                <w:szCs w:val="20"/>
                <w:color w:val="auto"/>
              </w:rPr>
            </w:pPr>
            <w:r>
              <w:rPr>
                <w:rFonts w:ascii="Arial" w:cs="Arial" w:eastAsia="Arial" w:hAnsi="Arial"/>
                <w:sz w:val="13"/>
                <w:szCs w:val="13"/>
                <w:color w:val="auto"/>
                <w:w w:val="97"/>
              </w:rPr>
              <w:t>₩</w:t>
            </w:r>
          </w:p>
        </w:tc>
        <w:tc>
          <w:tcPr>
            <w:tcW w:w="8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(208,109,887)</w:t>
            </w:r>
          </w:p>
        </w:tc>
        <w:tc>
          <w:tcPr>
            <w:tcW w:w="100" w:type="dxa"/>
            <w:vAlign w:val="bottom"/>
          </w:tcPr>
          <w:p>
            <w:pPr>
              <w:spacing w:after="0"/>
              <w:rPr>
                <w:sz w:val="11"/>
                <w:szCs w:val="11"/>
                <w:color w:val="auto"/>
              </w:rPr>
            </w:pPr>
          </w:p>
        </w:tc>
        <w:tc>
          <w:tcPr>
            <w:tcW w:w="200" w:type="dxa"/>
            <w:vAlign w:val="bottom"/>
          </w:tcPr>
          <w:p>
            <w:pPr>
              <w:ind w:left="40"/>
              <w:spacing w:after="0" w:line="128"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895,679</w:t>
            </w:r>
          </w:p>
        </w:tc>
        <w:tc>
          <w:tcPr>
            <w:tcW w:w="100" w:type="dxa"/>
            <w:vAlign w:val="bottom"/>
          </w:tcPr>
          <w:p>
            <w:pPr>
              <w:spacing w:after="0"/>
              <w:rPr>
                <w:sz w:val="11"/>
                <w:szCs w:val="11"/>
                <w:color w:val="auto"/>
              </w:rPr>
            </w:pPr>
          </w:p>
        </w:tc>
        <w:tc>
          <w:tcPr>
            <w:tcW w:w="180" w:type="dxa"/>
            <w:vAlign w:val="bottom"/>
          </w:tcPr>
          <w:p>
            <w:pPr>
              <w:ind w:left="40"/>
              <w:spacing w:after="0" w:line="128" w:lineRule="exact"/>
              <w:rPr>
                <w:sz w:val="20"/>
                <w:szCs w:val="20"/>
                <w:color w:val="auto"/>
              </w:rPr>
            </w:pPr>
            <w:r>
              <w:rPr>
                <w:rFonts w:ascii="Arial" w:cs="Arial" w:eastAsia="Arial" w:hAnsi="Arial"/>
                <w:sz w:val="13"/>
                <w:szCs w:val="13"/>
                <w:color w:val="auto"/>
                <w:w w:val="97"/>
              </w:rPr>
              <w:t>₩</w:t>
            </w:r>
          </w:p>
        </w:tc>
        <w:tc>
          <w:tcPr>
            <w:tcW w:w="7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(1,215,958)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ind w:left="60"/>
              <w:spacing w:after="0" w:line="128" w:lineRule="exact"/>
              <w:rPr>
                <w:sz w:val="20"/>
                <w:szCs w:val="20"/>
                <w:color w:val="auto"/>
              </w:rPr>
            </w:pPr>
            <w:r>
              <w:rPr>
                <w:rFonts w:ascii="Arial" w:cs="Arial" w:eastAsia="Arial" w:hAnsi="Arial"/>
                <w:sz w:val="13"/>
                <w:szCs w:val="13"/>
                <w:color w:val="auto"/>
                <w:w w:val="97"/>
              </w:rPr>
              <w:t>₩</w:t>
            </w:r>
          </w:p>
        </w:tc>
        <w:tc>
          <w:tcPr>
            <w:tcW w:w="6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(212,004)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ind w:left="80"/>
              <w:spacing w:after="0" w:line="128" w:lineRule="exact"/>
              <w:rPr>
                <w:sz w:val="20"/>
                <w:szCs w:val="20"/>
                <w:color w:val="auto"/>
              </w:rPr>
            </w:pPr>
            <w:r>
              <w:rPr>
                <w:rFonts w:ascii="Arial" w:cs="Arial" w:eastAsia="Arial" w:hAnsi="Arial"/>
                <w:sz w:val="13"/>
                <w:szCs w:val="13"/>
                <w:color w:val="auto"/>
                <w:w w:val="97"/>
              </w:rPr>
              <w:t>₩</w:t>
            </w:r>
          </w:p>
        </w:tc>
        <w:tc>
          <w:tcPr>
            <w:tcW w:w="7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(677,460)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ind w:left="80"/>
              <w:spacing w:after="0" w:line="128"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46,780,912</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ind w:left="80"/>
              <w:spacing w:after="0" w:line="128"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5,692,200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ind w:left="80"/>
              <w:spacing w:after="0" w:line="128"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(156,846,518)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40" w:type="dxa"/>
            <w:vAlign w:val="bottom"/>
            <w:shd w:val="clear" w:color="auto" w:fill="CCEEFF"/>
          </w:tcPr>
          <w:p>
            <w:pPr>
              <w:ind w:left="160"/>
              <w:spacing w:after="0" w:line="116" w:lineRule="exact"/>
              <w:rPr>
                <w:sz w:val="20"/>
                <w:szCs w:val="20"/>
                <w:color w:val="auto"/>
              </w:rPr>
            </w:pPr>
            <w:r>
              <w:rPr>
                <w:rFonts w:ascii="Times New Roman" w:cs="Times New Roman" w:eastAsia="Times New Roman" w:hAnsi="Times New Roman"/>
                <w:sz w:val="13"/>
                <w:szCs w:val="13"/>
                <w:color w:val="auto"/>
              </w:rPr>
              <w:t>Non-controlling</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6C</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6H</w:t>
            </w: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86"/>
              </w:rPr>
              <w:t>6I</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interest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(2,366,962)</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101,548</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(260,522)</w:t>
            </w:r>
          </w:p>
        </w:tc>
        <w:tc>
          <w:tcPr>
            <w:tcW w:w="3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853,797</w:t>
            </w:r>
          </w:p>
        </w:tc>
        <w:tc>
          <w:tcPr>
            <w:tcW w:w="3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(150,603)</w:t>
            </w:r>
          </w:p>
        </w:tc>
        <w:tc>
          <w:tcPr>
            <w:tcW w:w="520" w:type="dxa"/>
            <w:vAlign w:val="bottom"/>
            <w:gridSpan w:val="2"/>
            <w:vMerge w:val="continue"/>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(1,822,742)</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60"/>
              <w:spacing w:after="0" w:line="116" w:lineRule="exact"/>
              <w:rPr>
                <w:sz w:val="20"/>
                <w:szCs w:val="20"/>
                <w:color w:val="auto"/>
              </w:rPr>
            </w:pPr>
            <w:r>
              <w:rPr>
                <w:rFonts w:ascii="Times New Roman" w:cs="Times New Roman" w:eastAsia="Times New Roman" w:hAnsi="Times New Roman"/>
                <w:sz w:val="13"/>
                <w:szCs w:val="13"/>
                <w:color w:val="auto"/>
              </w:rPr>
              <w:t>Owners of the</w:t>
            </w: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2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(205,742,925)</w:t>
            </w:r>
          </w:p>
        </w:tc>
        <w:tc>
          <w:tcPr>
            <w:tcW w:w="200" w:type="dxa"/>
            <w:vAlign w:val="bottom"/>
          </w:tcPr>
          <w:p>
            <w:pPr>
              <w:spacing w:after="0"/>
              <w:rPr>
                <w:sz w:val="8"/>
                <w:szCs w:val="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794,131</w:t>
            </w:r>
          </w:p>
        </w:tc>
        <w:tc>
          <w:tcPr>
            <w:tcW w:w="180" w:type="dxa"/>
            <w:vAlign w:val="bottom"/>
          </w:tcPr>
          <w:p>
            <w:pPr>
              <w:spacing w:after="0"/>
              <w:rPr>
                <w:sz w:val="8"/>
                <w:szCs w:val="8"/>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(955,436)</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(212,004)</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(677,460)</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45,927,115</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5,842,803</w:t>
            </w: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(155,023,776)</w:t>
            </w:r>
          </w:p>
        </w:tc>
        <w:tc>
          <w:tcPr>
            <w:tcW w:w="0" w:type="dxa"/>
            <w:vAlign w:val="bottom"/>
          </w:tcPr>
          <w:p>
            <w:pPr>
              <w:spacing w:after="0"/>
              <w:rPr>
                <w:sz w:val="1"/>
                <w:szCs w:val="1"/>
                <w:color w:val="auto"/>
              </w:rPr>
            </w:pPr>
          </w:p>
        </w:tc>
      </w:tr>
      <w:tr>
        <w:trPr>
          <w:trHeight w:val="192"/>
        </w:trPr>
        <w:tc>
          <w:tcPr>
            <w:tcW w:w="1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parent company</w:t>
            </w: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240" w:type="dxa"/>
            <w:vAlign w:val="bottom"/>
          </w:tcPr>
          <w:p>
            <w:pPr>
              <w:ind w:left="160"/>
              <w:spacing w:after="0" w:line="116" w:lineRule="exact"/>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40" w:type="dxa"/>
            <w:vAlign w:val="bottom"/>
          </w:tcPr>
          <w:p>
            <w:pPr>
              <w:ind w:left="320"/>
              <w:spacing w:after="0" w:line="134" w:lineRule="exact"/>
              <w:rPr>
                <w:sz w:val="20"/>
                <w:szCs w:val="20"/>
                <w:color w:val="auto"/>
              </w:rPr>
            </w:pPr>
            <w:r>
              <w:rPr>
                <w:rFonts w:ascii="Times New Roman" w:cs="Times New Roman" w:eastAsia="Times New Roman" w:hAnsi="Times New Roman"/>
                <w:sz w:val="13"/>
                <w:szCs w:val="13"/>
                <w:color w:val="auto"/>
              </w:rPr>
              <w:t>per common</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tcPr>
          <w:p>
            <w:pPr>
              <w:ind w:left="320"/>
              <w:spacing w:after="0" w:line="134" w:lineRule="exact"/>
              <w:rPr>
                <w:sz w:val="20"/>
                <w:szCs w:val="20"/>
                <w:color w:val="auto"/>
              </w:rPr>
            </w:pPr>
            <w:r>
              <w:rPr>
                <w:rFonts w:ascii="Times New Roman" w:cs="Times New Roman" w:eastAsia="Times New Roman" w:hAnsi="Times New Roman"/>
                <w:sz w:val="13"/>
                <w:szCs w:val="13"/>
                <w:color w:val="auto"/>
              </w:rPr>
              <w:t>share, basic and</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w w:val="97"/>
              </w:rPr>
              <w:t>₩</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vMerge w:val="continue"/>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(3,341.00)</w:t>
            </w:r>
          </w:p>
        </w:tc>
        <w:tc>
          <w:tcPr>
            <w:tcW w:w="200" w:type="dxa"/>
            <w:vAlign w:val="bottom"/>
            <w:vMerge w:val="continue"/>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0.04</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(2,850.01)</w:t>
            </w:r>
          </w:p>
        </w:tc>
        <w:tc>
          <w:tcPr>
            <w:tcW w:w="0" w:type="dxa"/>
            <w:vAlign w:val="bottom"/>
          </w:tcPr>
          <w:p>
            <w:pPr>
              <w:spacing w:after="0"/>
              <w:rPr>
                <w:sz w:val="1"/>
                <w:szCs w:val="1"/>
                <w:color w:val="auto"/>
              </w:rPr>
            </w:pPr>
          </w:p>
        </w:tc>
      </w:tr>
      <w:tr>
        <w:trPr>
          <w:trHeight w:val="69"/>
        </w:trPr>
        <w:tc>
          <w:tcPr>
            <w:tcW w:w="1240" w:type="dxa"/>
            <w:vAlign w:val="bottom"/>
            <w:tcBorders>
              <w:top w:val="single" w:sz="8" w:color="CCEEFF"/>
            </w:tcBorders>
            <w:shd w:val="clear" w:color="auto" w:fill="CCEEFF"/>
          </w:tcPr>
          <w:p>
            <w:pPr>
              <w:ind w:left="160"/>
              <w:spacing w:after="0" w:line="70" w:lineRule="exact"/>
              <w:rPr>
                <w:sz w:val="20"/>
                <w:szCs w:val="20"/>
                <w:color w:val="auto"/>
              </w:rPr>
            </w:pPr>
            <w:r>
              <w:rPr>
                <w:rFonts w:ascii="Times New Roman" w:cs="Times New Roman" w:eastAsia="Times New Roman" w:hAnsi="Times New Roman"/>
                <w:sz w:val="8"/>
                <w:szCs w:val="8"/>
                <w:color w:val="auto"/>
              </w:rPr>
              <w:t>Weighted-average</w:t>
            </w:r>
          </w:p>
        </w:tc>
        <w:tc>
          <w:tcPr>
            <w:tcW w:w="16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ind w:left="320"/>
              <w:spacing w:after="0" w:line="134" w:lineRule="exact"/>
              <w:rPr>
                <w:sz w:val="20"/>
                <w:szCs w:val="20"/>
                <w:color w:val="auto"/>
              </w:rPr>
            </w:pPr>
            <w:r>
              <w:rPr>
                <w:rFonts w:ascii="Times New Roman" w:cs="Times New Roman" w:eastAsia="Times New Roman" w:hAnsi="Times New Roman"/>
                <w:sz w:val="13"/>
                <w:szCs w:val="13"/>
                <w:color w:val="auto"/>
              </w:rPr>
              <w:t>shares</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ind w:left="320"/>
              <w:spacing w:after="0" w:line="134" w:lineRule="exact"/>
              <w:rPr>
                <w:sz w:val="20"/>
                <w:szCs w:val="20"/>
                <w:color w:val="auto"/>
              </w:rPr>
            </w:pPr>
            <w:r>
              <w:rPr>
                <w:rFonts w:ascii="Times New Roman" w:cs="Times New Roman" w:eastAsia="Times New Roman" w:hAnsi="Times New Roman"/>
                <w:sz w:val="13"/>
                <w:szCs w:val="13"/>
                <w:color w:val="auto"/>
              </w:rPr>
              <w:t>outstanding,</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basic and diluted</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61,575,085</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13,662,476</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54,394,152</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combined pro forma financial information.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Hansol Acquisition</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2025, Playverse Co. Ltd. (“Playverse”), an indirect wholly owned subsidiary of K Wave Media Ltd. (the “Company” or “K Wave”), entered into a Share Purchase Agreement (the “Purchase Agreement”) with Hansol Holdings Co., Ltd., Lee Mi-sung and Cho Hyun-seung (collectively, the “Sellers”), pursuant to which Playverse agreed to purchase from the Sellers and the Sellers agreed to sell to Playverse an aggregate of 5,864,088 shares common stock (the “Purchased Shares”) of Hansol Inticube Co., an AI language and software development company with core capabilities in AI contact center solutions, voice recognition, chatbots, smart solutions and platform technologies (“Hansol”).</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Shares represent approximately 42.25% of the outstanding shares of common stock of Hansol. Pursuant to the Purchase Agreement, the aggregate purchase price for the Shares pursuant to was KRW15,000,337,104. The Purchase Agreement contains customary representations, warranties and covenants by the parties and customary indemnification obligations of the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Hansol Acquisition is being accounted for as a business combination using the acquisition method of accounting under IFRS 3,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Combinations, which requires assets acquired and liabilities assumed to be recorded at their acquisition date fair value in accordance with IFRS 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Under IFRS 13, fair value represents the price that would be received to sell an asset or paid to transfer a liability in an orderly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market participants at the measurement date. Fair value measurements can be highly subjective, and it is possible the application of reasonable judgement could develop different assumptions resulting in a range of alternative estimates using the same facts and circumstances. Identifiable intangible assets—such as customer relationships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technology assets, and trademarks—are recognized separately from goodwill when they meet the separability or contractual-legal criteria in IFRS 3. Goodwill is recognized as the excess of the consideration transferred and the amount of any non-controlling interest over the fair value of the identifiable net assets acquired.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 Wave and Hansol’s historical financial statements were prepared in accordance with IFRS. Based on an analysis of K Wave and Hansol’s significant accounting policies, the Company has not identified any material differences in accounting policies that would have an impact on the unaudited pro forma condensed combined financial statements. K Wave and Hansol have not had any historical relationship prior to the Acquisition. Accordingly, no pro forma adjustments were required to eliminate activities between the companies. As a result, the unaudited pro forma condensed combined financial statements do not assume any differences in accounting policies.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 forma adjustments presented in this unaudited pro forma condensed combined financial information represent management’s estimates based on information available as of the date of this Form 6-K and such estimates are subject to revision as further information is obtained. Accordingly, the pro forma adjustments for the Hansol Acquisition are preliminary and subject to further adjustment as additional information becomes available and the various analyses and other valuations are performed. Any adjustments may have a significant effect on total assets, total liabilities, total equity, operating expenses, and depreciation and amortization expenses, and such results may be significant.</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assumptions underlying the pro forma adjustments are described in the accompanying notes to this unaudited pro forma condensed combined financial information.</w:t>
      </w:r>
    </w:p>
    <w:p>
      <w:pPr>
        <w:spacing w:after="0" w:line="163"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may not be indicative of K Wave’s future performance and does not necessarily reflect what K Wave’s financial position and results of operations would have been had these transactions occurred at the beginning of the period presented.</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the unaudited pro forma condensed combined financial information does not purport to project the future operating results or financial position of K Wave following the completion of the Hansol Acquisition. Additionally, the unaudited pro forma condensed combined financial information does not reflect any revenue enhancements, anticipated synergies, operating efficiencies, or cost savings that may be achieved related to the Hansol Acquisition, nor does it reflect any costs or expenditures that may be required to achieve any possible synergies.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K Wave will finalize the accounting for the acquisition as soon as practicable within the measurement period, but in no event later than one year from the acquisition date, in accordance with IFRS 3.</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Note 3 – Preliminary Purchase Price Allocation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Consideration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estimated fair value of the consideration transferred is </w:t>
      </w:r>
      <w:r>
        <w:rPr>
          <w:rFonts w:ascii="Arial" w:cs="Arial" w:eastAsia="Arial" w:hAnsi="Arial"/>
          <w:sz w:val="18"/>
          <w:szCs w:val="18"/>
          <w:color w:val="auto"/>
        </w:rPr>
        <w:t>₩</w:t>
      </w:r>
      <w:r>
        <w:rPr>
          <w:rFonts w:ascii="Times New Roman" w:cs="Times New Roman" w:eastAsia="Times New Roman" w:hAnsi="Times New Roman"/>
          <w:sz w:val="18"/>
          <w:szCs w:val="18"/>
          <w:color w:val="auto"/>
        </w:rPr>
        <w:t>15.0 billion.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of Fair Value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tangible and identifiable intangible assets acquired, and liabilities assumed used to prepare pro forma adjustments in the unaudited pro forma condensed combined balance sheet and statements of operations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180" w:type="dxa"/>
            <w:vAlign w:val="bottom"/>
          </w:tcPr>
          <w:p>
            <w:pPr>
              <w:ind w:left="29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15,000,337</w:t>
            </w:r>
          </w:p>
        </w:tc>
      </w:tr>
      <w:tr>
        <w:trPr>
          <w:trHeight w:val="215"/>
        </w:trPr>
        <w:tc>
          <w:tcPr>
            <w:tcW w:w="68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w:t>
            </w: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318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22,669,199</w:t>
            </w:r>
          </w:p>
        </w:tc>
      </w:tr>
      <w:tr>
        <w:trPr>
          <w:trHeight w:val="215"/>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assets</w:t>
            </w:r>
          </w:p>
        </w:tc>
        <w:tc>
          <w:tcPr>
            <w:tcW w:w="3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6,519,741</w:t>
            </w:r>
          </w:p>
        </w:tc>
        <w:tc>
          <w:tcPr>
            <w:tcW w:w="100" w:type="dxa"/>
            <w:vAlign w:val="bottom"/>
          </w:tcPr>
          <w:p>
            <w:pPr>
              <w:spacing w:after="0"/>
              <w:rPr>
                <w:sz w:val="18"/>
                <w:szCs w:val="18"/>
                <w:color w:val="auto"/>
              </w:rPr>
            </w:pPr>
          </w:p>
        </w:tc>
      </w:tr>
      <w:tr>
        <w:trPr>
          <w:trHeight w:val="215"/>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12,722,547</w:t>
            </w:r>
          </w:p>
        </w:tc>
      </w:tr>
      <w:tr>
        <w:trPr>
          <w:trHeight w:val="215"/>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liability</w:t>
            </w:r>
          </w:p>
        </w:tc>
        <w:tc>
          <w:tcPr>
            <w:tcW w:w="3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(2,574,000)</w:t>
            </w:r>
          </w:p>
        </w:tc>
      </w:tr>
      <w:tr>
        <w:trPr>
          <w:trHeight w:val="215"/>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3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(19,442,642)</w:t>
            </w:r>
          </w:p>
        </w:tc>
      </w:tr>
      <w:tr>
        <w:trPr>
          <w:trHeight w:val="215"/>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(13,070,905)</w:t>
            </w:r>
          </w:p>
        </w:tc>
      </w:tr>
      <w:tr>
        <w:trPr>
          <w:trHeight w:val="208"/>
        </w:trPr>
        <w:tc>
          <w:tcPr>
            <w:tcW w:w="68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3180" w:type="dxa"/>
            <w:vAlign w:val="bottom"/>
            <w:tcBorders>
              <w:top w:val="single" w:sz="8" w:color="CCEEFF"/>
            </w:tcBorders>
            <w:shd w:val="clear" w:color="auto" w:fill="CCEEFF"/>
          </w:tcPr>
          <w:p>
            <w:pPr>
              <w:ind w:left="2900"/>
              <w:spacing w:after="0"/>
              <w:rPr>
                <w:sz w:val="20"/>
                <w:szCs w:val="20"/>
                <w:color w:val="auto"/>
              </w:rPr>
            </w:pPr>
            <w:r>
              <w:rPr>
                <w:rFonts w:ascii="Arial" w:cs="Arial" w:eastAsia="Arial" w:hAnsi="Arial"/>
                <w:sz w:val="18"/>
                <w:szCs w:val="18"/>
                <w:color w:val="auto"/>
                <w:highlight w:val="black"/>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6,823,940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3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8,176,397</w:t>
            </w:r>
          </w:p>
        </w:tc>
        <w:tc>
          <w:tcPr>
            <w:tcW w:w="100" w:type="dxa"/>
            <w:vAlign w:val="bottom"/>
            <w:tcBorders>
              <w:bottom w:val="single" w:sz="8" w:color="CCEEFF"/>
            </w:tcBorders>
          </w:tcPr>
          <w:p>
            <w:pPr>
              <w:spacing w:after="0"/>
              <w:rPr>
                <w:sz w:val="18"/>
                <w:szCs w:val="18"/>
                <w:color w:val="auto"/>
              </w:rPr>
            </w:pPr>
          </w:p>
        </w:tc>
      </w:tr>
      <w:tr>
        <w:trPr>
          <w:trHeight w:val="20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180" w:type="dxa"/>
            <w:vAlign w:val="bottom"/>
            <w:shd w:val="clear" w:color="auto" w:fill="CCEEFF"/>
          </w:tcPr>
          <w:p>
            <w:pPr>
              <w:ind w:left="2900"/>
              <w:spacing w:after="0"/>
              <w:rPr>
                <w:sz w:val="20"/>
                <w:szCs w:val="20"/>
                <w:color w:val="auto"/>
              </w:rPr>
            </w:pPr>
            <w:r>
              <w:rPr>
                <w:rFonts w:ascii="Arial" w:cs="Arial" w:eastAsia="Arial" w:hAnsi="Arial"/>
                <w:sz w:val="18"/>
                <w:szCs w:val="18"/>
                <w:color w:val="auto"/>
                <w:highlight w:val="black"/>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15,000,337</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final estimates of fair value will be determined when the Company has completed the detailed valuations and necessary calculations. The final allocation could differ materially from the preliminary calculation used in the pro forma adjustments. The final estimates of fair value may include (i) changes in allocations to intangible assets including goodwill, (ii) other changes to assets and liabilities, and (iii) changes to the assessment of tax positions and tax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identifiable intangible assets in the unaudited pro forma condensed combined financial information consist of the following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2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r>
      <w:tr>
        <w:trPr>
          <w:trHeight w:val="237"/>
        </w:trPr>
        <w:tc>
          <w:tcPr>
            <w:tcW w:w="3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Methodology</w:t>
            </w:r>
          </w:p>
        </w:tc>
      </w:tr>
      <w:tr>
        <w:trPr>
          <w:trHeight w:val="208"/>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94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 years</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Multi-period excess earnings method</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9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2,884,000</w:t>
            </w:r>
          </w:p>
        </w:tc>
        <w:tc>
          <w:tcPr>
            <w:tcW w:w="2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5 years</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Multi-period excess earnings methos</w:t>
            </w:r>
          </w:p>
        </w:tc>
      </w:tr>
      <w:tr>
        <w:trPr>
          <w:trHeight w:val="215"/>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4,716,000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7 years</w:t>
            </w:r>
          </w:p>
        </w:tc>
        <w:tc>
          <w:tcPr>
            <w:tcW w:w="3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Relief from royalty method</w:t>
            </w:r>
          </w:p>
        </w:tc>
      </w:tr>
      <w:tr>
        <w:trPr>
          <w:trHeight w:val="21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19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1,643,000</w:t>
            </w:r>
          </w:p>
        </w:tc>
        <w:tc>
          <w:tcPr>
            <w:tcW w:w="2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Relief from royalty method</w:t>
            </w:r>
          </w:p>
        </w:tc>
      </w:tr>
      <w:tr>
        <w:trPr>
          <w:trHeight w:val="215"/>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1,022,547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5 years</w:t>
            </w:r>
          </w:p>
        </w:tc>
        <w:tc>
          <w:tcPr>
            <w:tcW w:w="3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Replacement Cost method</w:t>
            </w:r>
          </w:p>
        </w:tc>
      </w:tr>
      <w:tr>
        <w:trPr>
          <w:trHeight w:val="208"/>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940" w:type="dxa"/>
            <w:vAlign w:val="bottom"/>
          </w:tcPr>
          <w:p>
            <w:pPr>
              <w:ind w:left="1660"/>
              <w:spacing w:after="0"/>
              <w:rPr>
                <w:sz w:val="20"/>
                <w:szCs w:val="20"/>
                <w:color w:val="auto"/>
              </w:rPr>
            </w:pPr>
            <w:r>
              <w:rPr>
                <w:rFonts w:ascii="Arial" w:cs="Arial" w:eastAsia="Arial" w:hAnsi="Arial"/>
                <w:sz w:val="18"/>
                <w:szCs w:val="18"/>
                <w:color w:val="auto"/>
                <w:highlight w:val="black"/>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12,722,547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amortization related to the identifiable intangible assets is reflected as an Acquisition Adjustment in the unaudited pro forma condensed combined statements of operations based on the estimated useful lives above as further described in Note 5. The fair values of the identifiable intangible assets are preliminary and are based on Management’s estimates as of the Closing Date. The Company applied judgement in estimating the fair value of these intangibles which involved the use of significant assumptions with respect to revenue forecasts, revenue growth, attrition rates, royalty rates, discount rates, and economic lives.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Note 4 – Other Pro Forma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Playverse Capital Contribution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March 2026, Playverse received a capital contribution of </w:t>
      </w:r>
      <w:r>
        <w:rPr>
          <w:rFonts w:ascii="Arial" w:cs="Arial" w:eastAsia="Arial" w:hAnsi="Arial"/>
          <w:sz w:val="18"/>
          <w:szCs w:val="18"/>
          <w:color w:val="auto"/>
        </w:rPr>
        <w:t>₩</w:t>
      </w:r>
      <w:r>
        <w:rPr>
          <w:rFonts w:ascii="Times New Roman" w:cs="Times New Roman" w:eastAsia="Times New Roman" w:hAnsi="Times New Roman"/>
          <w:sz w:val="18"/>
          <w:szCs w:val="18"/>
          <w:color w:val="auto"/>
        </w:rPr>
        <w:t>2.5 billion from Arania, representing 27.8% ownership in Playverse.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and Settlement of Convertible Notes</w:t>
      </w:r>
    </w:p>
    <w:p>
      <w:pPr>
        <w:spacing w:after="0" w:line="22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January 2026, K Wave received notices of conversion from Anson Investments Master Fund LP and Anson East Master Fund LP in connection with the convertible notes.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Accordingly, K Wave issued an aggregate of 4,824,273 common shares upon conversion, including 3,857,634 shares to Anson Investments Master Fund LP and 966,639 shares to Anson East Master Fund LP.</w:t>
      </w:r>
    </w:p>
    <w:p>
      <w:pPr>
        <w:spacing w:after="0" w:line="16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In March 2026, K Wave received notices of conversion from Loeb &amp; Loeb LLP in connection with the convertible notes. Accordingly, the Company issued an aggregate of 1,952,662 common shares upon conversion and the note was cancelled in its entirety.</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April 29, 2026, the Company entered into the amendment to Security Purchase Agreement. Pursuant to the agreement, the Company liquidated 88 Bitcoins and repaid part of Convertible notes issued to Anson Investments Master Fund LP and Anson East Master Fund LP. As a result of the liquidation, $6,952,000 was recovered and total loss of $2,863,108 incurred due to the investment in Bitcoins.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 of Play Company</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 xml:space="preserve">On March 25, 2026, Play Company entered into the loan agreement with Hana Bank in the amount of </w:t>
      </w:r>
      <w:r>
        <w:rPr>
          <w:rFonts w:ascii="Arial" w:cs="Arial" w:eastAsia="Arial" w:hAnsi="Arial"/>
          <w:sz w:val="18"/>
          <w:szCs w:val="18"/>
          <w:color w:val="auto"/>
        </w:rPr>
        <w:t>₩</w:t>
      </w:r>
      <w:r>
        <w:rPr>
          <w:rFonts w:ascii="Times New Roman" w:cs="Times New Roman" w:eastAsia="Times New Roman" w:hAnsi="Times New Roman"/>
          <w:sz w:val="18"/>
          <w:szCs w:val="18"/>
          <w:color w:val="auto"/>
        </w:rPr>
        <w:t>5,000,000 thousand, bearing interest at a variable annual rate equal to three-month Certificate of Deposit plus 2.396%. This borrowing is collateralized by 65,000 common shares of Playverse and 5,864,088 common shares of Hansol Inticube.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Recission of Play Company Acquisition</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Company’s 2026 annual general meeting which is scheduled to occur on July 10, 2026, the Company’s shareholders will vote to approve, among other things, the termination of the Share Purchase Agreement (as amended, the “Share Purchase Agreement”), dated March 31, 2023 and effective January 3, 2025, pursuant to which the Company, through its wholly owned subsidiary, K Enter Holdings, Inc., purchased all of the issued and outstanding 83,418 shares of common stock of Play Company Co., Ltd. (“Play”). If this proposal is approved, the Company will enter into a recission and termination agreement (the “Play Recission Agreement”) with the former owner of Play, pursuant to which the parties will agree to rescind and terminate the Share Purchase Agreement. Under the terms of the Play Recission Agreement, the acquisition of Play would be unwound and treated as if the original transaction had not occurred. As part of the recission, the parties will also agree to mutually release each other from obligations arising under the Share Purchase Agreement, including the Company’s remaining obligation to pay approximately $25.0 million of unpaid purchase consideration.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Recission of Solaire Partners Acquisition</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May 29, 2026, the Company entered into a recission and termination agreement (the “Solaire Recission Agreement”) with former owners of Solaire Partners, pursuant to which the parties agreed to terminate and rescind the original share purchase agreement dated 2023. Under the terms of the Solaire Recission Agreement, the acquisition of Solaire is to be unwound and treated as if the original transaction had not occurred.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Note 5 – Acquisition Adjustments to Unaudited Pro Forma Condensed Combined Statement of Financial Position</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Acquisition Adjustments include the following adjustments, which are based on the Company’s preliminary estimates and assumptions, related to the unaudited pro forma condensed combined statement of financial position as of December 31, 2025.</w:t>
      </w:r>
    </w:p>
    <w:p>
      <w:pPr>
        <w:spacing w:after="0" w:line="163" w:lineRule="exact"/>
        <w:rPr>
          <w:sz w:val="20"/>
          <w:szCs w:val="20"/>
          <w:color w:val="auto"/>
        </w:rPr>
      </w:pPr>
    </w:p>
    <w:p>
      <w:pPr>
        <w:ind w:left="660" w:hanging="653"/>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the fair value of intangible assets in accordance with purchase accounting as described in Note 3.</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purchase accounting adjustment to goodwill based on the acquisition method.</w:t>
      </w:r>
    </w:p>
    <w:p>
      <w:pPr>
        <w:spacing w:after="0" w:line="181" w:lineRule="exact"/>
        <w:rPr>
          <w:rFonts w:ascii="Times New Roman" w:cs="Times New Roman" w:eastAsia="Times New Roman" w:hAnsi="Times New Roman"/>
          <w:sz w:val="18"/>
          <w:szCs w:val="18"/>
          <w:color w:val="auto"/>
        </w:rPr>
      </w:pPr>
    </w:p>
    <w:p>
      <w:pPr>
        <w:jc w:val="both"/>
        <w:ind w:left="660" w:hanging="653"/>
        <w:spacing w:after="0" w:line="287"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purchase of approximately 42.25% of the shares of Hansol for a value of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15.0 billion of which a prepayment of </w:t>
      </w:r>
      <w:r>
        <w:rPr>
          <w:rFonts w:ascii="Arial" w:cs="Arial" w:eastAsia="Arial" w:hAnsi="Arial"/>
          <w:sz w:val="18"/>
          <w:szCs w:val="18"/>
          <w:color w:val="auto"/>
        </w:rPr>
        <w:t>₩</w:t>
      </w:r>
      <w:r>
        <w:rPr>
          <w:rFonts w:ascii="Times New Roman" w:cs="Times New Roman" w:eastAsia="Times New Roman" w:hAnsi="Times New Roman"/>
          <w:sz w:val="18"/>
          <w:szCs w:val="18"/>
          <w:color w:val="auto"/>
        </w:rPr>
        <w:t>3.0 billion is recorded as other current asset as of December 31, 2025. Non-controlling interests are measured at the non-controlling interest’s proportionate share of the identifiable net assets.</w:t>
      </w:r>
    </w:p>
    <w:p>
      <w:pPr>
        <w:spacing w:after="0" w:line="156"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eliminates Hansol’s historical shareholders’ equity.</w:t>
      </w:r>
    </w:p>
    <w:p>
      <w:pPr>
        <w:spacing w:after="0" w:line="181" w:lineRule="exact"/>
        <w:rPr>
          <w:rFonts w:ascii="Times New Roman" w:cs="Times New Roman" w:eastAsia="Times New Roman" w:hAnsi="Times New Roman"/>
          <w:sz w:val="18"/>
          <w:szCs w:val="18"/>
          <w:color w:val="auto"/>
        </w:rPr>
      </w:pPr>
    </w:p>
    <w:p>
      <w:pPr>
        <w:ind w:left="660" w:right="20" w:hanging="653"/>
        <w:spacing w:after="0" w:line="32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w:t>
      </w:r>
      <w:r>
        <w:rPr>
          <w:rFonts w:ascii="Arial" w:cs="Arial" w:eastAsia="Arial" w:hAnsi="Arial"/>
          <w:sz w:val="18"/>
          <w:szCs w:val="18"/>
          <w:color w:val="auto"/>
        </w:rPr>
        <w:t>₩</w:t>
      </w:r>
      <w:r>
        <w:rPr>
          <w:rFonts w:ascii="Times New Roman" w:cs="Times New Roman" w:eastAsia="Times New Roman" w:hAnsi="Times New Roman"/>
          <w:sz w:val="18"/>
          <w:szCs w:val="18"/>
          <w:color w:val="auto"/>
        </w:rPr>
        <w:t>45.0 million of transaction costs incurred by the Company that are not included in the historical financial statements of K Wave or Hansol.</w:t>
      </w:r>
    </w:p>
    <w:p>
      <w:pPr>
        <w:spacing w:after="0" w:line="82" w:lineRule="exact"/>
        <w:rPr>
          <w:rFonts w:ascii="Times New Roman" w:cs="Times New Roman" w:eastAsia="Times New Roman" w:hAnsi="Times New Roman"/>
          <w:sz w:val="18"/>
          <w:szCs w:val="18"/>
          <w:color w:val="auto"/>
        </w:rPr>
      </w:pPr>
    </w:p>
    <w:p>
      <w:pPr>
        <w:ind w:left="660" w:hanging="653"/>
        <w:spacing w:after="0" w:line="32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bank loan in the amount of </w:t>
      </w:r>
      <w:r>
        <w:rPr>
          <w:rFonts w:ascii="Arial" w:cs="Arial" w:eastAsia="Arial" w:hAnsi="Arial"/>
          <w:sz w:val="18"/>
          <w:szCs w:val="18"/>
          <w:color w:val="auto"/>
        </w:rPr>
        <w:t>₩</w:t>
      </w:r>
      <w:r>
        <w:rPr>
          <w:rFonts w:ascii="Times New Roman" w:cs="Times New Roman" w:eastAsia="Times New Roman" w:hAnsi="Times New Roman"/>
          <w:sz w:val="18"/>
          <w:szCs w:val="18"/>
          <w:color w:val="auto"/>
        </w:rPr>
        <w:t>5.0 billion entered by K Wave subsequent to December 31, 2025. The loan has a one year term and an interest rate of the Korea 3-month CD rate+2.396%.</w:t>
      </w:r>
    </w:p>
    <w:p>
      <w:pPr>
        <w:spacing w:after="0" w:line="8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sale of 27.8% of Play Company’s ownership in Playverse for </w:t>
      </w:r>
      <w:r>
        <w:rPr>
          <w:rFonts w:ascii="Arial" w:cs="Arial" w:eastAsia="Arial" w:hAnsi="Arial"/>
          <w:sz w:val="18"/>
          <w:szCs w:val="18"/>
          <w:color w:val="auto"/>
        </w:rPr>
        <w:t>₩</w:t>
      </w:r>
      <w:r>
        <w:rPr>
          <w:rFonts w:ascii="Times New Roman" w:cs="Times New Roman" w:eastAsia="Times New Roman" w:hAnsi="Times New Roman"/>
          <w:sz w:val="18"/>
          <w:szCs w:val="18"/>
          <w:color w:val="auto"/>
        </w:rPr>
        <w:t>2.5 billion.</w:t>
      </w:r>
    </w:p>
    <w:p>
      <w:pPr>
        <w:spacing w:after="0" w:line="262" w:lineRule="exact"/>
        <w:rPr>
          <w:rFonts w:ascii="Times New Roman" w:cs="Times New Roman" w:eastAsia="Times New Roman" w:hAnsi="Times New Roman"/>
          <w:sz w:val="18"/>
          <w:szCs w:val="18"/>
          <w:color w:val="auto"/>
        </w:rPr>
      </w:pPr>
    </w:p>
    <w:p>
      <w:pPr>
        <w:ind w:left="660" w:hanging="653"/>
        <w:spacing w:after="0" w:line="279"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of 88 Bitcoin and the partial repayment of the convertible notes issued to Anson Investments Master Funs LP and Anson East Master Fund LP.</w:t>
      </w:r>
    </w:p>
    <w:p>
      <w:pPr>
        <w:spacing w:after="0" w:line="162" w:lineRule="exact"/>
        <w:rPr>
          <w:rFonts w:ascii="Times New Roman" w:cs="Times New Roman" w:eastAsia="Times New Roman" w:hAnsi="Times New Roman"/>
          <w:sz w:val="18"/>
          <w:szCs w:val="18"/>
          <w:color w:val="auto"/>
        </w:rPr>
      </w:pPr>
    </w:p>
    <w:p>
      <w:pPr>
        <w:ind w:left="660" w:hanging="653"/>
        <w:spacing w:after="0" w:line="279"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the Anson Investments Master Fund LP and Anson East Master Fund LP for the issuance of 3,857,634 and 966,639 common shares, respectively. Reflects the conversion of the Loeb and Loeb LLP convertible notes and the issuance of 1,952,662 common shares.</w:t>
      </w:r>
    </w:p>
    <w:p>
      <w:pPr>
        <w:spacing w:after="0" w:line="189" w:lineRule="exact"/>
        <w:rPr>
          <w:rFonts w:ascii="Times New Roman" w:cs="Times New Roman" w:eastAsia="Times New Roman" w:hAnsi="Times New Roman"/>
          <w:sz w:val="18"/>
          <w:szCs w:val="18"/>
          <w:color w:val="auto"/>
        </w:rPr>
      </w:pPr>
    </w:p>
    <w:p>
      <w:pPr>
        <w:jc w:val="both"/>
        <w:ind w:left="660" w:hanging="653"/>
        <w:spacing w:after="0" w:line="264"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record the recission of the Play Co. Ltd. securities purchase agreement. The pro forma adjustment reflects (i) the removal of Play Co. Ltd.’s assets and liabilities, including goodwill, (ii) the elimination of the unpaid acquisition consideration liability, and (iii) the assumed cancellation of 8,622,587 ordinary shares originally issued as consideration in connection with the acquisition.</w:t>
      </w:r>
    </w:p>
    <w:p>
      <w:pPr>
        <w:spacing w:after="0" w:line="202" w:lineRule="exact"/>
        <w:rPr>
          <w:rFonts w:ascii="Times New Roman" w:cs="Times New Roman" w:eastAsia="Times New Roman" w:hAnsi="Times New Roman"/>
          <w:sz w:val="18"/>
          <w:szCs w:val="18"/>
          <w:color w:val="auto"/>
        </w:rPr>
      </w:pPr>
    </w:p>
    <w:p>
      <w:pPr>
        <w:jc w:val="both"/>
        <w:ind w:left="660" w:hanging="653"/>
        <w:spacing w:after="0" w:line="264"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record the recission of the Solaire Partners securities purchase agreement. The pro forma adjustment reflects (i) the removal of Solaire Partners’ assets and liabilities together with the elimination of the related non-controlling interest and (ii) the assumed cancellation of 9,827,057 ordinary shares originally issued as consideration in connection with the acquisition.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Note 6 – Acquisition Adjustments to Unaudited Pro Forma Condensed Combined Statements of Operations</w:t>
      </w:r>
    </w:p>
    <w:p>
      <w:pPr>
        <w:spacing w:after="0" w:line="186" w:lineRule="exact"/>
        <w:rPr>
          <w:sz w:val="20"/>
          <w:szCs w:val="20"/>
          <w:color w:val="auto"/>
        </w:rPr>
      </w:pPr>
    </w:p>
    <w:p>
      <w:pPr>
        <w:ind w:left="660" w:right="20" w:hanging="653"/>
        <w:spacing w:after="0" w:line="325"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an adjustment to reflect </w:t>
      </w:r>
      <w:r>
        <w:rPr>
          <w:rFonts w:ascii="Arial" w:cs="Arial" w:eastAsia="Arial" w:hAnsi="Arial"/>
          <w:sz w:val="18"/>
          <w:szCs w:val="18"/>
          <w:color w:val="auto"/>
        </w:rPr>
        <w:t>₩</w:t>
      </w:r>
      <w:r>
        <w:rPr>
          <w:rFonts w:ascii="Times New Roman" w:cs="Times New Roman" w:eastAsia="Times New Roman" w:hAnsi="Times New Roman"/>
          <w:sz w:val="18"/>
          <w:szCs w:val="18"/>
          <w:color w:val="auto"/>
        </w:rPr>
        <w:t>45.0 million of transaction costs incurred by K Wave that are not included in the historical financial statements of K Wave and Hansol.</w:t>
      </w:r>
    </w:p>
    <w:p>
      <w:pPr>
        <w:spacing w:after="0" w:line="123" w:lineRule="exact"/>
        <w:rPr>
          <w:rFonts w:ascii="Times New Roman" w:cs="Times New Roman" w:eastAsia="Times New Roman" w:hAnsi="Times New Roman"/>
          <w:sz w:val="18"/>
          <w:szCs w:val="18"/>
          <w:color w:val="auto"/>
        </w:rPr>
      </w:pPr>
    </w:p>
    <w:p>
      <w:pPr>
        <w:jc w:val="both"/>
        <w:ind w:left="660" w:hanging="653"/>
        <w:spacing w:after="0" w:line="264"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estimated fair values of Hansol’s identifiable intangible assets acquired through business combination and determined through purchase price allocation and their estimated useful lives including the amortization for the periods presented calculated on a straight-line basis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15"/>
        </w:trPr>
        <w:tc>
          <w:tcPr>
            <w:tcW w:w="4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Expense -</w:t>
            </w:r>
          </w:p>
        </w:tc>
      </w:tr>
      <w:tr>
        <w:trPr>
          <w:trHeight w:val="215"/>
        </w:trPr>
        <w:tc>
          <w:tcPr>
            <w:tcW w:w="4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3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5"/>
        </w:trPr>
        <w:tc>
          <w:tcPr>
            <w:tcW w:w="4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w:t>
            </w:r>
          </w:p>
        </w:tc>
        <w:tc>
          <w:tcPr>
            <w:tcW w:w="3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4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8"/>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740" w:type="dxa"/>
            <w:vAlign w:val="bottom"/>
            <w:tcBorders>
              <w:top w:val="single" w:sz="8" w:color="CCEEFF"/>
            </w:tcBorders>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9.8</w:t>
            </w:r>
          </w:p>
        </w:tc>
        <w:tc>
          <w:tcPr>
            <w:tcW w:w="3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2,884,000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576,800</w:t>
            </w: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673,714</w:t>
            </w:r>
          </w:p>
        </w:tc>
      </w:tr>
      <w:tr>
        <w:trPr>
          <w:trHeight w:val="21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2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1,643,000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1,022,547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246,414</w:t>
            </w:r>
          </w:p>
        </w:tc>
      </w:tr>
      <w:tr>
        <w:trPr>
          <w:trHeight w:val="20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40" w:type="dxa"/>
            <w:vAlign w:val="bottom"/>
          </w:tcPr>
          <w:p>
            <w:pPr>
              <w:ind w:left="2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12,722,547</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1,747,642</w:t>
            </w:r>
          </w:p>
        </w:tc>
        <w:tc>
          <w:tcPr>
            <w:tcW w:w="1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 amortization</w:t>
            </w:r>
          </w:p>
        </w:tc>
        <w:tc>
          <w:tcPr>
            <w:tcW w:w="2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246,414</w:t>
            </w:r>
          </w:p>
        </w:tc>
      </w:tr>
      <w:tr>
        <w:trPr>
          <w:trHeight w:val="20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Incremental amortization</w:t>
            </w: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1,501,228</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hanging="653"/>
        <w:spacing w:after="0" w:line="279"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non-controlling interest related to the historical financial statements of Hansol and the pro forma amortization expense of intangible assets.</w:t>
      </w:r>
    </w:p>
    <w:p>
      <w:pPr>
        <w:spacing w:after="0" w:line="189" w:lineRule="exact"/>
        <w:rPr>
          <w:rFonts w:ascii="Times New Roman" w:cs="Times New Roman" w:eastAsia="Times New Roman" w:hAnsi="Times New Roman"/>
          <w:sz w:val="18"/>
          <w:szCs w:val="18"/>
          <w:color w:val="auto"/>
        </w:rPr>
      </w:pPr>
    </w:p>
    <w:p>
      <w:pPr>
        <w:jc w:val="both"/>
        <w:ind w:left="660" w:hanging="653"/>
        <w:spacing w:after="0" w:line="264"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tax expense on the amortization of the intangible assets in (B) above, the interest expense recognized on the bank loan in (C) below, the loss on the disposal of Bitcoin in (F) below and the reversal of interest expense on the convertible notes in (G) below, based on the 22% corporate income tax rate.</w:t>
      </w:r>
    </w:p>
    <w:p>
      <w:pPr>
        <w:spacing w:after="0" w:line="202" w:lineRule="exact"/>
        <w:rPr>
          <w:rFonts w:ascii="Times New Roman" w:cs="Times New Roman" w:eastAsia="Times New Roman" w:hAnsi="Times New Roman"/>
          <w:sz w:val="18"/>
          <w:szCs w:val="18"/>
          <w:color w:val="auto"/>
        </w:rPr>
      </w:pPr>
    </w:p>
    <w:p>
      <w:pPr>
        <w:ind w:left="660" w:right="20" w:hanging="653"/>
        <w:spacing w:after="0" w:line="279"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recognized on the bank loan as described in (F) above, giving effect to the business combination as if it had occurred on January 1, 2025.</w:t>
      </w:r>
    </w:p>
    <w:p>
      <w:pPr>
        <w:spacing w:after="0" w:line="16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loss on the disposal of Bitcoin.</w:t>
      </w:r>
    </w:p>
    <w:p>
      <w:pPr>
        <w:spacing w:after="0" w:line="249" w:lineRule="exact"/>
        <w:rPr>
          <w:rFonts w:ascii="Times New Roman" w:cs="Times New Roman" w:eastAsia="Times New Roman" w:hAnsi="Times New Roman"/>
          <w:sz w:val="18"/>
          <w:szCs w:val="18"/>
          <w:color w:val="auto"/>
        </w:rPr>
      </w:pPr>
    </w:p>
    <w:p>
      <w:pPr>
        <w:ind w:left="660" w:hanging="653"/>
        <w:spacing w:after="0" w:line="279"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reversal of the interest expense on the convertible notes, giving effect to the business combination as if it had occurred on January 1, 2025.</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0" w:name="page71"/>
    <w:bookmarkEnd w:id="70"/>
    <w:p>
      <w:pPr>
        <w:jc w:val="both"/>
        <w:ind w:left="660" w:hanging="653"/>
        <w:spacing w:after="0" w:line="25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record the recission of the Play Co. Ltd. Securities purchase agreement. The pro forma reflects the removal of Play Co. Ltd.’s revenue and expenses, including non-controlling interest. The Company recognized a gain on deconsolidation equal to the excess of (i) the fair value of the consideration received—consisting of the forgiven liabilities of K Enter Holdings, Inc.—over the sum of (ii) the carrying amounts of the subsidiary's assets (including any goodwill) and liabilities at the date control was lost and (iii) the carrying amount of any non-controlling interests.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Derecognized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Derecognized</w:t>
            </w:r>
          </w:p>
        </w:tc>
        <w:tc>
          <w:tcPr>
            <w:tcW w:w="13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non-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net asset</w:t>
            </w:r>
          </w:p>
        </w:tc>
        <w:tc>
          <w:tcPr>
            <w:tcW w:w="13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(liabilities) at</w:t>
            </w:r>
          </w:p>
        </w:tc>
        <w:tc>
          <w:tcPr>
            <w:tcW w:w="1320" w:type="dxa"/>
            <w:vAlign w:val="bottom"/>
            <w:gridSpan w:val="2"/>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interests at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Fair value of</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their carrying</w:t>
            </w:r>
          </w:p>
        </w:tc>
        <w:tc>
          <w:tcPr>
            <w:tcW w:w="13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their carrying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considerations</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Gain on</w:t>
            </w:r>
          </w:p>
        </w:tc>
      </w:tr>
      <w:tr>
        <w:trPr>
          <w:trHeight w:val="237"/>
        </w:trPr>
        <w:tc>
          <w:tcPr>
            <w:tcW w:w="59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3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received</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deconsolidation</w:t>
            </w:r>
          </w:p>
        </w:tc>
      </w:tr>
      <w:tr>
        <w:trPr>
          <w:trHeight w:val="222"/>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Play Company and its subsidiaries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34,250,514</w:t>
            </w: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r>
              <w:rPr>
                <w:rFonts w:ascii="Times New Roman" w:cs="Times New Roman" w:eastAsia="Times New Roman" w:hAnsi="Times New Roman"/>
                <w:sz w:val="18"/>
                <w:szCs w:val="18"/>
                <w:color w:val="auto"/>
              </w:rPr>
              <w:t>13,070,905</w:t>
            </w:r>
          </w:p>
        </w:tc>
        <w:tc>
          <w:tcPr>
            <w:tcW w:w="220" w:type="dxa"/>
            <w:vAlign w:val="bottom"/>
            <w:tcBorders>
              <w:top w:val="single" w:sz="8" w:color="CCEEFF"/>
            </w:tcBorders>
            <w:shd w:val="clear" w:color="auto" w:fill="CCEEFF"/>
          </w:tcPr>
          <w:p>
            <w:pPr>
              <w:jc w:val="right"/>
              <w:ind w:right="71"/>
              <w:spacing w:after="0" w:line="198" w:lineRule="exact"/>
              <w:rPr>
                <w:sz w:val="20"/>
                <w:szCs w:val="20"/>
                <w:color w:val="auto"/>
              </w:rPr>
            </w:pPr>
            <w:r>
              <w:rPr>
                <w:rFonts w:ascii="Calibri" w:cs="Calibri" w:eastAsia="Calibri" w:hAnsi="Calibri"/>
                <w:sz w:val="18"/>
                <w:szCs w:val="18"/>
                <w:color w:val="auto"/>
                <w:w w:val="7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65,267,395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44,087,786</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23" w:lineRule="exact"/>
        <w:rPr>
          <w:sz w:val="20"/>
          <w:szCs w:val="20"/>
          <w:color w:val="auto"/>
        </w:rPr>
      </w:pPr>
    </w:p>
    <w:p>
      <w:pPr>
        <w:jc w:val="both"/>
        <w:ind w:left="660" w:hanging="653"/>
        <w:spacing w:after="0" w:line="25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record the recission of the Solaire Partners’ securities purchase agreement. The pro forma adjustment reflects the removal of Solaire Partners’ revenue and expenses together with the elimination of the related non-controlling interest. The Company recognized a gain on deconsolidation equal to the excess of (i) the fair value of the consideration received—consisting of K Wave Media shares measured at their closing price on June 30, 2026—over the sum of (ii) the carrying amounts of the subsidiary's assets (including any goodwill) and liabilities at the date control was lost.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Derecognized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Derecognized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net asset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(liabilities) at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interests at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Fair value of</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their carrying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their carrying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considerations</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Gain on</w:t>
            </w:r>
          </w:p>
        </w:tc>
      </w:tr>
      <w:tr>
        <w:trPr>
          <w:trHeight w:val="237"/>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received</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deconsolidation</w:t>
            </w:r>
          </w:p>
        </w:tc>
      </w:tr>
      <w:tr>
        <w:trPr>
          <w:trHeight w:val="208"/>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Solaire Partners</w:t>
            </w:r>
          </w:p>
        </w:tc>
        <w:tc>
          <w:tcPr>
            <w:tcW w:w="26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(999,714)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2,680,141</w:t>
            </w:r>
          </w:p>
        </w:tc>
        <w:tc>
          <w:tcPr>
            <w:tcW w:w="100" w:type="dxa"/>
            <w:vAlign w:val="bottom"/>
            <w:tcBorders>
              <w:top w:val="single" w:sz="8" w:color="CCEEFF"/>
            </w:tcBorders>
            <w:shd w:val="clear" w:color="auto" w:fill="CCEEFF"/>
          </w:tcPr>
          <w:p>
            <w:pPr>
              <w:spacing w:after="0"/>
              <w:rPr>
                <w:sz w:val="18"/>
                <w:szCs w:val="18"/>
                <w:color w:val="auto"/>
              </w:rPr>
            </w:pPr>
          </w:p>
        </w:tc>
      </w:tr>
      <w:tr>
        <w:trPr>
          <w:trHeight w:val="772"/>
        </w:trPr>
        <w:tc>
          <w:tcPr>
            <w:tcW w:w="3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1)"/>
      <w:numFmt w:val="decimal"/>
      <w:start w:val="2"/>
    </w:lvl>
  </w:abstractNum>
  <w:abstractNum w:abstractNumId="5">
    <w:nsid w:val="2CD89A32"/>
    <w:multiLevelType w:val="hybridMultilevel"/>
    <w:lvl w:ilvl="0">
      <w:lvlJc w:val="left"/>
      <w:lvlText w:val="%1)"/>
      <w:numFmt w:val="decimal"/>
      <w:start w:val="3"/>
    </w:lvl>
  </w:abstractNum>
  <w:abstractNum w:abstractNumId="6">
    <w:nsid w:val="57E4CCAF"/>
    <w:multiLevelType w:val="hybridMultilevel"/>
    <w:lvl w:ilvl="0">
      <w:lvlJc w:val="left"/>
      <w:lvlText w:val="%1)"/>
      <w:numFmt w:val="decimal"/>
      <w:start w:val="4"/>
    </w:lvl>
  </w:abstractNum>
  <w:abstractNum w:abstractNumId="7">
    <w:nsid w:val="7A6D8D3C"/>
    <w:multiLevelType w:val="hybridMultilevel"/>
    <w:lvl w:ilvl="0">
      <w:lvlJc w:val="left"/>
      <w:lvlText w:val="(%1)"/>
      <w:numFmt w:val="decimal"/>
      <w:start w:val="2"/>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decimal"/>
      <w:start w:val="2"/>
    </w:lvl>
  </w:abstractNum>
  <w:abstractNum w:abstractNumId="10">
    <w:nsid w:val="6DE91B18"/>
    <w:multiLevelType w:val="hybridMultilevel"/>
    <w:lvl w:ilvl="0">
      <w:lvlJc w:val="left"/>
      <w:lvlText w:val="%1)"/>
      <w:numFmt w:val="decimal"/>
      <w:start w:val="3"/>
    </w:lvl>
  </w:abstractNum>
  <w:abstractNum w:abstractNumId="11">
    <w:nsid w:val="38437FDB"/>
    <w:multiLevelType w:val="hybridMultilevel"/>
    <w:lvl w:ilvl="0">
      <w:lvlJc w:val="left"/>
      <w:lvlText w:val="(%1)"/>
      <w:numFmt w:val="decimal"/>
      <w:start w:val="3"/>
    </w:lvl>
  </w:abstractNum>
  <w:abstractNum w:abstractNumId="12">
    <w:nsid w:val="7644A45C"/>
    <w:multiLevelType w:val="hybridMultilevel"/>
    <w:lvl w:ilvl="0">
      <w:lvlJc w:val="left"/>
      <w:lvlText w:val="(%1)"/>
      <w:numFmt w:val="decimal"/>
      <w:start w:val="4"/>
    </w:lvl>
  </w:abstractNum>
  <w:abstractNum w:abstractNumId="13">
    <w:nsid w:val="32FFF902"/>
    <w:multiLevelType w:val="hybridMultilevel"/>
    <w:lvl w:ilvl="0">
      <w:lvlJc w:val="left"/>
      <w:lvlText w:val="(%1)"/>
      <w:numFmt w:val="decimal"/>
      <w:start w:val="5"/>
    </w:lvl>
  </w:abstractNum>
  <w:abstractNum w:abstractNumId="14">
    <w:nsid w:val="684A481A"/>
    <w:multiLevelType w:val="hybridMultilevel"/>
    <w:lvl w:ilvl="0">
      <w:lvlJc w:val="left"/>
      <w:lvlText w:val="(%1)"/>
      <w:numFmt w:val="decimal"/>
      <w:start w:val="6"/>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1)"/>
      <w:numFmt w:val="decimal"/>
      <w:start w:val="2"/>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decimal"/>
      <w:start w:val="3"/>
    </w:lvl>
  </w:abstractNum>
  <w:abstractNum w:abstractNumId="19">
    <w:nsid w:val="79A1DEAA"/>
    <w:multiLevelType w:val="hybridMultilevel"/>
    <w:lvl w:ilvl="0">
      <w:lvlJc w:val="left"/>
      <w:lvlText w:val="(%1)"/>
      <w:numFmt w:val="decimal"/>
      <w:start w:val="7"/>
    </w:lvl>
  </w:abstractNum>
  <w:abstractNum w:abstractNumId="20">
    <w:nsid w:val="75C6C33A"/>
    <w:multiLevelType w:val="hybridMultilevel"/>
    <w:lvl w:ilvl="0">
      <w:lvlJc w:val="left"/>
      <w:lvlText w:val="(%1)"/>
      <w:numFmt w:val="decimal"/>
      <w:start w:val="8"/>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decimal"/>
      <w:start w:val="2"/>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1)"/>
      <w:numFmt w:val="decimal"/>
      <w:start w:val="3"/>
    </w:lvl>
  </w:abstractNum>
  <w:abstractNum w:abstractNumId="25">
    <w:nsid w:val="4F4EF005"/>
    <w:multiLevelType w:val="hybridMultilevel"/>
    <w:lvl w:ilvl="0">
      <w:lvlJc w:val="left"/>
      <w:lvlText w:val="(%1)"/>
      <w:numFmt w:val="decimal"/>
      <w:start w:val="9"/>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decimal"/>
      <w:start w:val="2"/>
    </w:lvl>
  </w:abstractNum>
  <w:abstractNum w:abstractNumId="28">
    <w:nsid w:val="275AC794"/>
    <w:multiLevelType w:val="hybridMultilevel"/>
    <w:lvl w:ilvl="0">
      <w:lvlJc w:val="left"/>
      <w:lvlText w:val="%1)"/>
      <w:numFmt w:val="decimal"/>
      <w:start w:val="3"/>
    </w:lvl>
  </w:abstractNum>
  <w:abstractNum w:abstractNumId="29">
    <w:nsid w:val="39386575"/>
    <w:multiLevelType w:val="hybridMultilevel"/>
    <w:lvl w:ilvl="0">
      <w:lvlJc w:val="left"/>
      <w:lvlText w:val="%1)"/>
      <w:numFmt w:val="decimal"/>
      <w:start w:val="4"/>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1)"/>
      <w:numFmt w:val="decimal"/>
      <w:start w:val="2"/>
    </w:lvl>
  </w:abstractNum>
  <w:abstractNum w:abstractNumId="33">
    <w:nsid w:val="47398C89"/>
    <w:multiLevelType w:val="hybridMultilevel"/>
    <w:lvl w:ilvl="0">
      <w:lvlJc w:val="left"/>
      <w:lvlText w:val="①"/>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②"/>
      <w:numFmt w:val="bullet"/>
      <w:start w:val="1"/>
    </w:lvl>
  </w:abstractNum>
  <w:abstractNum w:abstractNumId="38">
    <w:nsid w:val="10233C99"/>
    <w:multiLevelType w:val="hybridMultilevel"/>
    <w:lvl w:ilvl="0">
      <w:lvlJc w:val="left"/>
      <w:lvlText w:val="%1)"/>
      <w:numFmt w:val="decimal"/>
      <w:start w:val="3"/>
    </w:lvl>
  </w:abstractNum>
  <w:abstractNum w:abstractNumId="39">
    <w:nsid w:val="3F6AB60F"/>
    <w:multiLevelType w:val="hybridMultilevel"/>
    <w:lvl w:ilvl="0">
      <w:lvlJc w:val="left"/>
      <w:lvlText w:val="%1)"/>
      <w:numFmt w:val="decimal"/>
      <w:start w:val="4"/>
    </w:lvl>
  </w:abstractNum>
  <w:abstractNum w:abstractNumId="40">
    <w:nsid w:val="61574095"/>
    <w:multiLevelType w:val="hybridMultilevel"/>
    <w:lvl w:ilvl="0">
      <w:lvlJc w:val="left"/>
      <w:lvlText w:val="%1)"/>
      <w:numFmt w:val="decimal"/>
      <w:start w:val="5"/>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2"/>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2"/>
    </w:lvl>
  </w:abstractNum>
  <w:abstractNum w:abstractNumId="46">
    <w:nsid w:val="2F305DEF"/>
    <w:multiLevelType w:val="hybridMultilevel"/>
    <w:lvl w:ilvl="0">
      <w:lvlJc w:val="left"/>
      <w:lvlText w:val="(%1)"/>
      <w:numFmt w:val="decimal"/>
      <w:start w:val="3"/>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lowerRoman"/>
      <w:start w:val="1"/>
    </w:lvl>
  </w:abstractNum>
  <w:abstractNum w:abstractNumId="49">
    <w:nsid w:val="4AD084E9"/>
    <w:multiLevelType w:val="hybridMultilevel"/>
    <w:lvl w:ilvl="0">
      <w:lvlJc w:val="left"/>
      <w:lvlText w:val="%1"/>
      <w:numFmt w:val="decimal"/>
      <w:start w:val="1"/>
    </w:lvl>
    <w:lvl w:ilvl="1">
      <w:lvlJc w:val="left"/>
      <w:lvlText w:val="%2."/>
      <w:numFmt w:val="lowerRoman"/>
      <w:start w:val="3"/>
    </w:lvl>
  </w:abstractNum>
  <w:abstractNum w:abstractNumId="50">
    <w:nsid w:val="1F48EAA1"/>
    <w:multiLevelType w:val="hybridMultilevel"/>
    <w:lvl w:ilvl="0">
      <w:lvlJc w:val="left"/>
      <w:lvlText w:val="%1."/>
      <w:numFmt w:val="decimal"/>
      <w:start w:val="8"/>
    </w:lvl>
    <w:lvl w:ilvl="1">
      <w:lvlJc w:val="left"/>
      <w:lvlText w:val="%2"/>
      <w:numFmt w:val="lowerRoman"/>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1."/>
      <w:numFmt w:val="upperLetter"/>
      <w:start w:val="3"/>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upperLetter"/>
      <w:start w:val="6"/>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lowerRoman"/>
      <w:start w:val="1"/>
    </w:lvl>
  </w:abstractNum>
  <w:abstractNum w:abstractNumId="58">
    <w:nsid w:val="799D0247"/>
    <w:multiLevelType w:val="hybridMultilevel"/>
    <w:lvl w:ilvl="0">
      <w:lvlJc w:val="left"/>
      <w:lvlText w:val="%1."/>
      <w:numFmt w:val="lowerRoman"/>
      <w:start w:val="2"/>
    </w:lvl>
  </w:abstractNum>
  <w:abstractNum w:abstractNumId="59">
    <w:nsid w:val="6B94764"/>
    <w:multiLevelType w:val="hybridMultilevel"/>
    <w:lvl w:ilvl="0">
      <w:lvlJc w:val="left"/>
      <w:lvlText w:val="%1."/>
      <w:numFmt w:val="lowerRoman"/>
      <w:start w:val="5"/>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1."/>
      <w:numFmt w:val="lowerRoman"/>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1."/>
      <w:numFmt w:val="lowerRoman"/>
      <w:start w:val="1"/>
    </w:lvl>
  </w:abstractNum>
  <w:abstractNum w:abstractNumId="69">
    <w:nsid w:val="BF72B14"/>
    <w:multiLevelType w:val="hybridMultilevel"/>
    <w:lvl w:ilvl="0">
      <w:lvlJc w:val="left"/>
      <w:lvlText w:val="%1."/>
      <w:numFmt w:val="upperLetter"/>
      <w:start w:val="4"/>
    </w:lvl>
  </w:abstractNum>
  <w:abstractNum w:abstractNumId="70">
    <w:nsid w:val="11447B73"/>
    <w:multiLevelType w:val="hybridMultilevel"/>
    <w:lvl w:ilvl="0">
      <w:lvlJc w:val="left"/>
      <w:lvlText w:val="%1."/>
      <w:numFmt w:val="upperLetter"/>
      <w:start w:val="1"/>
    </w:lvl>
  </w:abstractNum>
  <w:abstractNum w:abstractNumId="71">
    <w:nsid w:val="42963E5A"/>
    <w:multiLevelType w:val="hybridMultilevel"/>
    <w:lvl w:ilvl="0">
      <w:lvlJc w:val="left"/>
      <w:lvlText w:val="%1."/>
      <w:numFmt w:val="lowerRoman"/>
      <w:start w:val="2"/>
    </w:lvl>
  </w:abstractNum>
  <w:abstractNum w:abstractNumId="72">
    <w:nsid w:val="A0382C5"/>
    <w:multiLevelType w:val="hybridMultilevel"/>
    <w:lvl w:ilvl="0">
      <w:lvlJc w:val="left"/>
      <w:lvlText w:val="%1."/>
      <w:numFmt w:val="upperLetter"/>
      <w:start w:val="2"/>
    </w:lvl>
    <w:lvl w:ilvl="1">
      <w:lvlJc w:val="left"/>
      <w:lvlText w:val="%2."/>
      <w:numFmt w:val="lowerRoman"/>
      <w:start w:val="1"/>
    </w:lvl>
  </w:abstractNum>
  <w:abstractNum w:abstractNumId="73">
    <w:nsid w:val="8F2B15E"/>
    <w:multiLevelType w:val="hybridMultilevel"/>
    <w:lvl w:ilvl="0">
      <w:lvlJc w:val="left"/>
      <w:lvlText w:val="%1"/>
      <w:numFmt w:val="upperLetter"/>
      <w:start w:val="1"/>
    </w:lvl>
    <w:lvl w:ilvl="1">
      <w:lvlJc w:val="left"/>
      <w:lvlText w:val="%2."/>
      <w:numFmt w:val="lowerRoman"/>
      <w:start w:val="4"/>
    </w:lvl>
  </w:abstractNum>
  <w:abstractNum w:abstractNumId="74">
    <w:nsid w:val="1A32234B"/>
    <w:multiLevelType w:val="hybridMultilevel"/>
    <w:lvl w:ilvl="0">
      <w:lvlJc w:val="left"/>
      <w:lvlText w:val="%1"/>
      <w:numFmt w:val="upperLetter"/>
      <w:start w:val="1"/>
    </w:lvl>
    <w:lvl w:ilvl="1">
      <w:lvlJc w:val="left"/>
      <w:lvlText w:val="%2."/>
      <w:numFmt w:val="lowerRoman"/>
      <w:start w:val="1"/>
    </w:lvl>
  </w:abstractNum>
  <w:abstractNum w:abstractNumId="75">
    <w:nsid w:val="3B0FD379"/>
    <w:multiLevelType w:val="hybridMultilevel"/>
    <w:lvl w:ilvl="0">
      <w:lvlJc w:val="left"/>
      <w:lvlText w:val="%1."/>
      <w:numFmt w:val="lowerRoman"/>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1)"/>
      <w:numFmt w:val="lowerRoman"/>
      <w:start w:val="1"/>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lowerLetter"/>
      <w:start w:val="1"/>
    </w:lvl>
  </w:abstractNum>
  <w:abstractNum w:abstractNumId="80">
    <w:nsid w:val="14330624"/>
    <w:multiLevelType w:val="hybridMultilevel"/>
    <w:lvl w:ilvl="0">
      <w:lvlJc w:val="left"/>
      <w:lvlText w:val="(%1)"/>
      <w:numFmt w:val="lowerLetter"/>
      <w:start w:val="3"/>
    </w:lvl>
  </w:abstractNum>
  <w:abstractNum w:abstractNumId="81">
    <w:nsid w:val="7FFFCA11"/>
    <w:multiLevelType w:val="hybridMultilevel"/>
    <w:lvl w:ilvl="0">
      <w:lvlJc w:val="left"/>
      <w:lvlText w:val="(%1)"/>
      <w:numFmt w:val="lowerLetter"/>
      <w:start w:val="8"/>
    </w:lvl>
  </w:abstractNum>
  <w:abstractNum w:abstractNumId="82">
    <w:nsid w:val="1A27709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2026-06-29T15:05:26Z</dcterms:created>
  <dcterms:modified xsi:type="dcterms:W3CDTF">2026-06-29T15:05:26Z</dcterms:modified>
</cp:coreProperties>
</file>